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aeriestech_10q.htm"/>
      <w:bookmarkStart w:id="1" w:name="ksaeriestech_10q"/>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B_edei--DocumentType_c20260401__20"/>
      <w:bookmarkEnd w:id="2"/>
      <w:r>
        <w:rPr>
          <w:rFonts w:ascii="Times New Roman;Times;Serif" w:hAnsi="Times New Roman;Times;Serif"/>
          <w:b/>
          <w:i w:val="false"/>
          <w:caps w:val="false"/>
          <w:smallCaps w:val="false"/>
          <w:sz w:val="28"/>
        </w:rPr>
        <w:t>10-Q</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jc w:val="center"/>
        <w:rPr>
          <w:caps w:val="false"/>
          <w:smallCaps w:val="false"/>
        </w:rPr>
      </w:pPr>
      <w:bookmarkStart w:id="3" w:name="xdx_902_edei--DocumentQuarterlyReport_c2"/>
      <w:bookmarkEnd w:id="3"/>
      <w:r>
        <w:rPr>
          <w:caps w:val="false"/>
          <w:smallCaps w:val="false"/>
        </w:rPr>
        <w:t>☒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2_edei--DocumentPeriodEndDate_c202"/>
      <w:bookmarkEnd w:id="4"/>
      <w:r>
        <w:rPr>
          <w:rFonts w:ascii="Times New Roman;Times;Serif" w:hAnsi="Times New Roman;Times;Serif"/>
          <w:b/>
          <w:i w:val="false"/>
          <w:caps w:val="false"/>
          <w:smallCaps w:val="false"/>
          <w:sz w:val="20"/>
        </w:rPr>
        <w:t>June 30, 2026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5" w:name="xdx_907_edei--DocumentTransitionReport_c"/>
      <w:bookmarkEnd w:id="5"/>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 to 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4_edei--EntityFileNumber_c20260401"/>
      <w:bookmarkEnd w:id="6"/>
      <w:r>
        <w:rPr>
          <w:rFonts w:ascii="Times New Roman;Times;Serif" w:hAnsi="Times New Roman;Times;Serif"/>
          <w:b/>
          <w:i w:val="false"/>
          <w:caps w:val="false"/>
          <w:smallCaps w:val="false"/>
          <w:sz w:val="20"/>
        </w:rPr>
        <w:t>001-40920</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7" w:name="xdx_90E_edei--EntityRegistrantName_c2026"/>
      <w:bookmarkEnd w:id="7"/>
      <w:r>
        <w:rPr>
          <w:rFonts w:ascii="Times New Roman;Times;Serif" w:hAnsi="Times New Roman;Times;Serif"/>
          <w:b/>
          <w:i w:val="false"/>
          <w:caps w:val="false"/>
          <w:smallCaps w:val="false"/>
          <w:sz w:val="28"/>
        </w:rPr>
        <w:t>Aeries Technology,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3755"/>
        <w:gridCol w:w="60"/>
        <w:gridCol w:w="1775"/>
      </w:tblGrid>
      <w:tr>
        <w:trPr/>
        <w:tc>
          <w:tcPr>
            <w:tcW w:w="3755" w:type="dxa"/>
            <w:tcBorders>
              <w:bottom w:val="single" w:sz="8" w:space="0" w:color="000000"/>
            </w:tcBorders>
            <w:vAlign w:val="center"/>
          </w:tcPr>
          <w:p>
            <w:pPr>
              <w:pStyle w:val="TableContents"/>
              <w:bidi w:val="0"/>
              <w:spacing w:before="0" w:after="283"/>
              <w:jc w:val="center"/>
              <w:rPr>
                <w:b/>
              </w:rPr>
            </w:pPr>
            <w:bookmarkStart w:id="8" w:name="xdx_902_edei--EntityIncorporationStateCo"/>
            <w:bookmarkEnd w:id="8"/>
            <w:r>
              <w:rPr>
                <w:b/>
              </w:rPr>
              <w:t>Cayman Islands</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9" w:name="xdx_90F_edei--EntityTaxIdentificationNum"/>
            <w:bookmarkEnd w:id="9"/>
            <w:r>
              <w:rPr>
                <w:b/>
              </w:rPr>
              <w:t>98-1587626</w:t>
            </w:r>
          </w:p>
        </w:tc>
      </w:tr>
      <w:tr>
        <w:trPr/>
        <w:tc>
          <w:tcPr>
            <w:tcW w:w="37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r>
        <w:trPr/>
        <w:tc>
          <w:tcPr>
            <w:tcW w:w="37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3755" w:type="dxa"/>
            <w:tcBorders>
              <w:bottom w:val="single" w:sz="8" w:space="0" w:color="000000"/>
            </w:tcBorders>
            <w:vAlign w:val="center"/>
          </w:tcPr>
          <w:p>
            <w:pPr>
              <w:pStyle w:val="TableContents"/>
              <w:bidi w:val="0"/>
              <w:spacing w:before="0" w:after="283"/>
              <w:jc w:val="center"/>
              <w:rPr>
                <w:b/>
              </w:rPr>
            </w:pPr>
            <w:bookmarkStart w:id="10" w:name="xdx_906_edei--EntityAddressAddressLine1_"/>
            <w:bookmarkEnd w:id="10"/>
            <w:r>
              <w:rPr>
                <w:b/>
              </w:rPr>
              <w:t xml:space="preserve">60 Paya Lebar Road, </w:t>
            </w:r>
            <w:bookmarkStart w:id="11" w:name="xdx_90E_edei--EntityAddressAddressLine2_"/>
            <w:bookmarkEnd w:id="11"/>
            <w:r>
              <w:rPr>
                <w:b/>
              </w:rPr>
              <w:t>#08-13</w:t>
              <w:br/>
            </w:r>
            <w:bookmarkStart w:id="12" w:name="xdx_90F_edei--EntityAddressAddressLine3_"/>
            <w:bookmarkEnd w:id="12"/>
            <w:r>
              <w:rPr>
                <w:b/>
              </w:rPr>
              <w:t>Paya Lebar Square</w:t>
              <w:br/>
            </w:r>
            <w:bookmarkStart w:id="13" w:name="xdx_908_edei--EntityAddressCountry_c2026"/>
            <w:bookmarkStart w:id="14" w:name="xdx_90B_edei--EntityAddressCityOrTown_c2"/>
            <w:bookmarkEnd w:id="13"/>
            <w:bookmarkEnd w:id="14"/>
            <w:r>
              <w:rPr>
                <w:b/>
              </w:rPr>
              <w:t>Singapore</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15" w:name="xdx_90D_edei--EntityAddressPostalZipCode"/>
            <w:bookmarkEnd w:id="15"/>
            <w:r>
              <w:rPr>
                <w:b/>
              </w:rPr>
              <w:t>409051</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6" w:name="xdx_90E_edei--CityAreaCode_c20260401__20"/>
      <w:bookmarkEnd w:id="16"/>
      <w:r>
        <w:rPr>
          <w:rFonts w:ascii="Times New Roman;Times;Serif" w:hAnsi="Times New Roman;Times;Serif"/>
          <w:b/>
          <w:i w:val="false"/>
          <w:caps w:val="false"/>
          <w:smallCaps w:val="false"/>
          <w:sz w:val="20"/>
        </w:rPr>
        <w:t xml:space="preserve">919) </w:t>
      </w:r>
      <w:bookmarkStart w:id="17" w:name="xdx_906_edei--LocalPhoneNumber_c20260401"/>
      <w:bookmarkEnd w:id="17"/>
      <w:r>
        <w:rPr>
          <w:rFonts w:ascii="Times New Roman;Times;Serif" w:hAnsi="Times New Roman;Times;Serif"/>
          <w:b/>
          <w:i w:val="false"/>
          <w:caps w:val="false"/>
          <w:smallCaps w:val="false"/>
          <w:sz w:val="20"/>
        </w:rPr>
        <w:t>228-6404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46"/>
        <w:gridCol w:w="60"/>
        <w:gridCol w:w="1208"/>
        <w:gridCol w:w="60"/>
        <w:gridCol w:w="2431"/>
      </w:tblGrid>
      <w:tr>
        <w:trPr/>
        <w:tc>
          <w:tcPr>
            <w:tcW w:w="644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0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3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44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F_edei--Security12bTitle_c20260401"/>
            <w:bookmarkEnd w:id="18"/>
            <w:r>
              <w:rPr>
                <w:rFonts w:ascii="Times New Roman;Times;Serif" w:hAnsi="Times New Roman;Times;Serif"/>
                <w:sz w:val="20"/>
              </w:rPr>
              <w:t>Class A ordinary shares, par value $0.0008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F_edei--TradingSymbol_c20260401__2"/>
            <w:bookmarkEnd w:id="19"/>
            <w:r>
              <w:rPr>
                <w:rFonts w:ascii="Times New Roman;Times;Serif" w:hAnsi="Times New Roman;Times;Serif"/>
                <w:sz w:val="20"/>
              </w:rPr>
              <w:t>AERT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3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5_edei--SecurityExchangeName_c2026"/>
            <w:bookmarkEnd w:id="20"/>
            <w:r>
              <w:rPr>
                <w:rFonts w:ascii="Times New Roman;Times;Serif" w:hAnsi="Times New Roman;Times;Serif"/>
                <w:sz w:val="20"/>
              </w:rPr>
              <w:t>Nasdaq Stock Market</w:t>
            </w:r>
          </w:p>
        </w:tc>
      </w:tr>
      <w:tr>
        <w:trPr/>
        <w:tc>
          <w:tcPr>
            <w:tcW w:w="644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2_edei--Security12bTitle_c20260401"/>
            <w:bookmarkEnd w:id="21"/>
            <w:r>
              <w:rPr>
                <w:rFonts w:ascii="Times New Roman;Times;Serif" w:hAnsi="Times New Roman;Times;Serif"/>
                <w:sz w:val="20"/>
              </w:rPr>
              <w:t xml:space="preserve">Redeemable warrants, each whole warrant exercisable in multiples of eight to purchase one Class A ordinary share for $92.00 per share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0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F_edei--TradingSymbol_c20260401__2"/>
            <w:bookmarkEnd w:id="22"/>
            <w:r>
              <w:rPr>
                <w:rFonts w:ascii="Times New Roman;Times;Serif" w:hAnsi="Times New Roman;Times;Serif"/>
                <w:sz w:val="20"/>
              </w:rPr>
              <w:t>AERTW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3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3" w:name="xdx_90D_edei--SecurityExchangeName_c2026"/>
            <w:bookmarkEnd w:id="23"/>
            <w:r>
              <w:rPr>
                <w:rFonts w:ascii="Times New Roman;Times;Serif" w:hAnsi="Times New Roman;Times;Serif"/>
                <w:sz w:val="20"/>
              </w:rPr>
              <w:t>Nasdaq Stock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during the preceding 12 months (or for such shorter period that the registrant was required to file such reports), and (2) has been subject to such filing requirements for the past 90 days. </w:t>
      </w:r>
      <w:bookmarkStart w:id="24" w:name="xdx_90C_edei--EntityCurrentReportingStat"/>
      <w:bookmarkEnd w:id="24"/>
      <w:r>
        <w:rPr>
          <w:rFonts w:ascii="Times New Roman;Times;Serif" w:hAnsi="Times New Roman;Times;Serif"/>
          <w:b w:val="false"/>
          <w:i w:val="false"/>
          <w:caps w:val="false"/>
          <w:smallCaps w:val="false"/>
          <w:sz w:val="20"/>
        </w:rPr>
        <w:t>Yes ☒   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5" w:name="xdx_90F_edei--EntityInteractiveDataCurre"/>
      <w:bookmarkEnd w:id="25"/>
      <w:r>
        <w:rPr>
          <w:rFonts w:ascii="Times New Roman;Times;Serif" w:hAnsi="Times New Roman;Times;Serif"/>
          <w:b w:val="false"/>
          <w:i w:val="false"/>
          <w:caps w:val="false"/>
          <w:smallCaps w:val="false"/>
          <w:sz w:val="20"/>
        </w:rPr>
        <w:t>Yes ☒   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bookmarkStart w:id="26" w:name="xdx_905_edei--EntityFilerCategory_c20260"/>
            <w:bookmarkEnd w:id="26"/>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bookmarkStart w:id="27" w:name="xdx_90F_edei--EntitySmallBusiness_c20260"/>
            <w:bookmarkEnd w:id="27"/>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bookmarkStart w:id="28" w:name="xdx_90B_edei--EntityEmergingGrowthCompan"/>
            <w:bookmarkEnd w:id="28"/>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5_edei--EntityExTransitionPeriod_c"/>
      <w:bookmarkEnd w:id="29"/>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w:t>
      </w:r>
      <w:bookmarkStart w:id="30" w:name="xdx_905_edei--EntityShellCompany_c202604"/>
      <w:bookmarkEnd w:id="30"/>
      <w:r>
        <w:rPr>
          <w:rFonts w:ascii="Times New Roman;Times;Serif" w:hAnsi="Times New Roman;Times;Serif"/>
          <w:b w:val="false"/>
          <w:i w:val="false"/>
          <w:caps w:val="false"/>
          <w:smallCaps w:val="false"/>
          <w:sz w:val="20"/>
        </w:rPr>
        <w:t>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5, 2026, there were </w:t>
      </w:r>
      <w:bookmarkStart w:id="31" w:name="xdx_90D_edei--EntityCommonStockSharesOut"/>
      <w:bookmarkEnd w:id="31"/>
      <w:r>
        <w:rPr>
          <w:rFonts w:ascii="Times New Roman;Times;Serif" w:hAnsi="Times New Roman;Times;Serif"/>
          <w:b w:val="false"/>
          <w:i w:val="false"/>
          <w:caps w:val="false"/>
          <w:smallCaps w:val="false"/>
          <w:sz w:val="20"/>
        </w:rPr>
        <w:t xml:space="preserve">5,247,852 Class A ordinary shares, $0.0008 par value, and </w:t>
      </w:r>
      <w:bookmarkStart w:id="32" w:name="xdx_903_edei--EntityCommonStockSharesOut"/>
      <w:bookmarkEnd w:id="32"/>
      <w:r>
        <w:rPr>
          <w:rFonts w:ascii="Times New Roman;Times;Serif" w:hAnsi="Times New Roman;Times;Serif"/>
          <w:b w:val="false"/>
          <w:i w:val="false"/>
          <w:caps w:val="false"/>
          <w:smallCaps w:val="false"/>
          <w:sz w:val="20"/>
        </w:rPr>
        <w:t>1 Class V ordinary share of a par value of $0.0001 par value, issued and outstanding.</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TECHNOLOGY,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5"/>
        <w:gridCol w:w="41"/>
        <w:gridCol w:w="8458"/>
        <w:gridCol w:w="60"/>
        <w:gridCol w:w="441"/>
      </w:tblGrid>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04" w:type="dxa"/>
            <w:gridSpan w:val="3"/>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PART 1  INTERIM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Condensed Consolidated Financial Statements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as of June 30, 2026 (Unaudited) and March 31, 2026</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 xml:space="preserve">Condensed Consolidated Statements of Operations for the three months ended June 30, 2026 and 2025 (Unaudited) </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 xml:space="preserve">Condensed Consolidated Statements of Comprehensive Income / (Loss) for the three months ended June 30, 2026 and 2025 (Unaudited) </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 xml:space="preserve">Condensed Consolidated Statements of Changes in Redeemable Noncontrolling Interest and Shareholders’ Equity / (Deficit) for the three months ended June 30, 2026 and 2025 (Unaudited) </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 xml:space="preserve">Condensed Consolidated Statements of Cash Flows for the three months ended June 30, 2026 and 2025 (Unaudited) </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2.</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3.</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4.</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4" w:type="dxa"/>
            <w:gridSpan w:val="3"/>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PART II 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1.</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Legal Proceedings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1A.</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2.</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3.</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Item 4.</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Item 5.</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Item 6.</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Exhibits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0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SIGNATURES</w:t>
              </w:r>
            </w:hyperlink>
          </w:p>
        </w:tc>
        <w:tc>
          <w:tcPr>
            <w:tcW w:w="41"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4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“will,” “would” and similar expressions may identify forward-looking statements, but the absence of these words does not mean that a statement is not forward-looking. Such statements are based on expectations as to the future and are not statements of historical fact.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 following factors, among others, could cause actual results and the timing of events to differ materially from the anticipated results or other expectations expressed in the forward-looking statements: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ability to continue as a going concern;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market opportunity;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ability to maintain compliance with the Nasdaq Stock Market (“Nasdaq”) listing standards and to maintain the listing of the Class A ordinary shares and the warrants on Nasdaq, and the potential liquidity and trading of such securities;</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sz w:val="20"/>
              </w:rPr>
            </w:pPr>
            <w:r>
              <w:rPr>
                <w:sz w:val="20"/>
              </w:rPr>
              <w:t>our business development efforts to maximize our potential value and to retain and expand our client base;</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sz w:val="20"/>
              </w:rPr>
            </w:pPr>
            <w:r>
              <w:rPr>
                <w:sz w:val="20"/>
              </w:rPr>
              <w:t>our estimates regarding expenses, future revenue, capital requirements and needs for additional financing;</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sz w:val="20"/>
              </w:rPr>
            </w:pPr>
            <w:r>
              <w:rPr>
                <w:sz w:val="20"/>
              </w:rPr>
              <w:t>our financial performance;</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sz w:val="20"/>
              </w:rPr>
            </w:pPr>
            <w:r>
              <w:rPr>
                <w:sz w:val="20"/>
              </w:rPr>
              <w:t>the sufficiency of our existing cash and cash equivalents to fund our operating expenses and capital expenditure requirements;</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sz w:val="20"/>
              </w:rPr>
            </w:pPr>
            <w:r>
              <w:rPr>
                <w:sz w:val="20"/>
              </w:rPr>
              <w:t>our success in retaining or recruiting officers, key employees or directors, or any necessary changes to these positions;</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sz w:val="20"/>
              </w:rPr>
            </w:pPr>
            <w:r>
              <w:rPr>
                <w:sz w:val="20"/>
              </w:rPr>
              <w:t>changes in applicable laws or regulations in the United States and foreign jurisdictions in which we conduct business;</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ability to develop and maintain effective internal controls and risks related to internal audit findings, including the identification of material weaknesses and control deficiencies;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risks related to cybersecurity and data privacy;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risks related to the rapid developments in generative artificial intelligence technologies, machine learning, and other emerging technologies, including their impact on customer demand, competitive dynamics, cybersecurity risks and the regulatory environment;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reputational harm, including those arising from social media, public perception, or misinformation;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2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290" w:type="dxa"/>
            <w:tcBorders/>
            <w:vAlign w:val="center"/>
          </w:tcPr>
          <w:p>
            <w:pPr>
              <w:pStyle w:val="TableContents"/>
              <w:bidi w:val="0"/>
              <w:spacing w:before="0" w:after="283"/>
              <w:jc w:val="both"/>
              <w:rPr>
                <w:sz w:val="20"/>
              </w:rPr>
            </w:pPr>
            <w:r>
              <w:rPr>
                <w:sz w:val="20"/>
              </w:rPr>
              <w:t>risks related to current or future litigation, regulatory inquiries, or governmental investigations;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sz w:val="20"/>
              </w:rPr>
            </w:pPr>
            <w:r>
              <w:rPr>
                <w:sz w:val="20"/>
              </w:rPr>
              <w:t>geopolitical instability, armed conflicts, trade restrictions, tariffs and other international events that may adversely affect global economic conditions, customer spending and business operations, pandemics or public health emergencies, recessions, interest rates, inflation, local and national elections, fuel prices, international currency fluctuations, changes in diplomatic and trade relationships, political instability, acts of war or terrorism and natural disasters;</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expected effects of the share consolidation on the trading price, liquidity and marketability of our Class A ordinary shares; and</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sz w:val="20"/>
              </w:rPr>
            </w:pPr>
            <w:r>
              <w:rPr>
                <w:sz w:val="20"/>
              </w:rPr>
              <w:t>other factors discussed in this report and our other filings with the Securities and Exchange Commission.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Some of these risks and uncertainties may be amplified in the future and there may be additional risks that we currently consider immaterial, or which are unknown. It is not possible to predict or identify all such risks. We undertake no obligation to update or revise any forward-looking statements to reflect events or circumstances after the date of this report or to reflect the occurrence of unanticipated events, except as required by applicable law. You should not place undue reliance on forward-looking statements, which speak only as of the date they are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3" w:name="a_001"/>
      <w:bookmarkEnd w:id="33"/>
      <w:r>
        <w:rPr>
          <w:rFonts w:ascii="Times New Roman;Times;Serif" w:hAnsi="Times New Roman;Times;Serif"/>
          <w:b/>
          <w:i w:val="false"/>
          <w:caps w:val="false"/>
          <w:smallCaps w:val="false"/>
          <w:sz w:val="20"/>
        </w:rPr>
        <w:t>PART 1  INTERIM FINANCIAL INFORMATION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sz w:val="20"/>
        </w:rPr>
      </w:pPr>
      <w:bookmarkStart w:id="34" w:name="a_002"/>
      <w:bookmarkEnd w:id="34"/>
      <w:r>
        <w:rPr>
          <w:rFonts w:ascii="Times New Roman;Times;Serif" w:hAnsi="Times New Roman;Times;Serif"/>
          <w:b/>
          <w:i w:val="false"/>
          <w:caps/>
          <w:sz w:val="20"/>
        </w:rPr>
        <w:t>Item 1. Condensed Consolidated Financial Statements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5" w:name="a_003"/>
      <w:bookmarkEnd w:id="35"/>
      <w:r>
        <w:rPr>
          <w:rFonts w:ascii="Times New Roman;Times;Serif" w:hAnsi="Times New Roman;Times;Serif"/>
          <w:b/>
          <w:i w:val="false"/>
          <w:caps w:val="false"/>
          <w:smallCaps w:val="false"/>
          <w:sz w:val="20"/>
        </w:rPr>
        <w:t>AERIES TECHNOLOGY,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 and March 31, 2026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United States dollars, except share and per share amounts)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xdx_300_111_pn3n3_zt4CkVdWVYd1"/>
      <w:bookmarkStart w:id="37" w:name="xdx_300_111_pn3n3_zt4CkVdWVYd1"/>
      <w:bookmarkEnd w:id="37"/>
    </w:p>
    <w:tbl>
      <w:tblPr>
        <w:tblW w:w="10205" w:type="dxa"/>
        <w:jc w:val="left"/>
        <w:tblInd w:w="0" w:type="dxa"/>
        <w:tblLayout w:type="fixed"/>
        <w:tblCellMar>
          <w:top w:w="0" w:type="dxa"/>
          <w:left w:w="0" w:type="dxa"/>
          <w:bottom w:w="0" w:type="dxa"/>
          <w:right w:w="0" w:type="dxa"/>
        </w:tblCellMar>
      </w:tblPr>
      <w:tblGrid>
        <w:gridCol w:w="7636"/>
        <w:gridCol w:w="60"/>
        <w:gridCol w:w="186"/>
        <w:gridCol w:w="1011"/>
        <w:gridCol w:w="95"/>
        <w:gridCol w:w="60"/>
        <w:gridCol w:w="167"/>
        <w:gridCol w:w="903"/>
        <w:gridCol w:w="87"/>
      </w:tblGrid>
      <w:tr>
        <w:trPr/>
        <w:tc>
          <w:tcPr>
            <w:tcW w:w="7636"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bookmarkStart w:id="38" w:name="xdx_49E_20260630_zCZF5BbiEO8c"/>
            <w:bookmarkEnd w:id="38"/>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bookmarkStart w:id="39" w:name="xdx_498_20260331_z0KENgHzZkmb"/>
            <w:bookmarkEnd w:id="39"/>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87" w:type="dxa"/>
            <w:tcBorders/>
            <w:vAlign w:val="center"/>
          </w:tcPr>
          <w:p>
            <w:pPr>
              <w:pStyle w:val="TableContents"/>
              <w:bidi w:val="0"/>
              <w:spacing w:before="0" w:after="283"/>
              <w:ind w:left="0" w:right="0" w:hanging="180"/>
              <w:jc w:val="left"/>
              <w:rPr/>
            </w:pPr>
            <w:r>
              <w:rPr/>
              <w:t> </w:t>
            </w:r>
          </w:p>
        </w:tc>
      </w:tr>
      <w:tr>
        <w:trPr/>
        <w:tc>
          <w:tcPr>
            <w:tcW w:w="7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(Audited)</w:t>
            </w:r>
          </w:p>
        </w:tc>
        <w:tc>
          <w:tcPr>
            <w:tcW w:w="87" w:type="dxa"/>
            <w:tcBorders/>
            <w:vAlign w:val="center"/>
          </w:tcPr>
          <w:p>
            <w:pPr>
              <w:pStyle w:val="TableContents"/>
              <w:bidi w:val="0"/>
              <w:spacing w:before="0" w:after="283"/>
              <w:ind w:left="0" w:right="0" w:hanging="180"/>
              <w:jc w:val="left"/>
              <w:rPr/>
            </w:pPr>
            <w:r>
              <w:rPr/>
              <w:t> </w:t>
            </w:r>
            <w:bookmarkStart w:id="40" w:name="xdx_403_eus-gaap--AssetsAbstract_iB_zeIK"/>
            <w:bookmarkEnd w:id="40"/>
          </w:p>
        </w:tc>
      </w:tr>
      <w:tr>
        <w:trPr/>
        <w:tc>
          <w:tcPr>
            <w:tcW w:w="763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41" w:name="xdx_401_eus-gaap--AssetsCurrentAbstract_"/>
            <w:bookmarkEnd w:id="41"/>
          </w:p>
        </w:tc>
      </w:tr>
      <w:tr>
        <w:trPr/>
        <w:tc>
          <w:tcPr>
            <w:tcW w:w="763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42" w:name="xdx_409_eus-gaap--CashAndCashEquivalents"/>
            <w:bookmarkEnd w:id="42"/>
          </w:p>
        </w:tc>
      </w:tr>
      <w:tr>
        <w:trPr/>
        <w:tc>
          <w:tcPr>
            <w:tcW w:w="763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11" w:type="dxa"/>
            <w:tcBorders/>
            <w:shd w:fill="CCEEFF" w:val="clear"/>
            <w:vAlign w:val="center"/>
          </w:tcPr>
          <w:p>
            <w:pPr>
              <w:pStyle w:val="TableContents"/>
              <w:bidi w:val="0"/>
              <w:spacing w:before="0" w:after="283"/>
              <w:jc w:val="right"/>
              <w:rPr/>
            </w:pPr>
            <w:r>
              <w:rPr/>
              <w:t>6,069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4,878</w:t>
            </w:r>
          </w:p>
        </w:tc>
        <w:tc>
          <w:tcPr>
            <w:tcW w:w="87" w:type="dxa"/>
            <w:tcBorders/>
            <w:shd w:fill="CCEEFF" w:val="clear"/>
            <w:vAlign w:val="center"/>
          </w:tcPr>
          <w:p>
            <w:pPr>
              <w:pStyle w:val="TableContents"/>
              <w:bidi w:val="0"/>
              <w:spacing w:before="0" w:after="283"/>
              <w:ind w:left="0" w:right="0" w:hanging="180"/>
              <w:jc w:val="left"/>
              <w:rPr/>
            </w:pPr>
            <w:r>
              <w:rPr/>
              <w:t> </w:t>
            </w:r>
            <w:bookmarkStart w:id="43" w:name="xdx_402_eus-gaap--AccountsReceivableNet_"/>
            <w:bookmarkEnd w:id="43"/>
          </w:p>
        </w:tc>
      </w:tr>
      <w:tr>
        <w:trPr/>
        <w:tc>
          <w:tcPr>
            <w:tcW w:w="7636" w:type="dxa"/>
            <w:tcBorders/>
            <w:shd w:fill="FFFFFF" w:val="clear"/>
            <w:vAlign w:val="center"/>
          </w:tcPr>
          <w:p>
            <w:pPr>
              <w:pStyle w:val="TableContents"/>
              <w:bidi w:val="0"/>
              <w:spacing w:before="0" w:after="283"/>
              <w:jc w:val="left"/>
              <w:rPr/>
            </w:pPr>
            <w:r>
              <w:rPr/>
              <w:t>Accounts receivable, net of allowance of $</w:t>
            </w:r>
            <w:bookmarkStart w:id="44" w:name="xdx_901_eus-gaap--AllowanceForDoubtfulAc"/>
            <w:bookmarkEnd w:id="44"/>
            <w:r>
              <w:rPr/>
              <w:t>1,349 and $</w:t>
            </w:r>
            <w:bookmarkStart w:id="45" w:name="xdx_90D_eus-gaap--AllowanceForDoubtfulAc"/>
            <w:bookmarkEnd w:id="45"/>
            <w:r>
              <w:rPr/>
              <w:t>1,335 as of June 30, 2026, and March 31, 2026, respectively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12,430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12,719</w:t>
            </w:r>
          </w:p>
        </w:tc>
        <w:tc>
          <w:tcPr>
            <w:tcW w:w="87" w:type="dxa"/>
            <w:tcBorders/>
            <w:shd w:fill="FFFFFF" w:val="clear"/>
            <w:vAlign w:val="center"/>
          </w:tcPr>
          <w:p>
            <w:pPr>
              <w:pStyle w:val="TableContents"/>
              <w:bidi w:val="0"/>
              <w:spacing w:before="0" w:after="283"/>
              <w:ind w:left="0" w:right="0" w:hanging="180"/>
              <w:jc w:val="left"/>
              <w:rPr/>
            </w:pPr>
            <w:r>
              <w:rPr/>
              <w:t> </w:t>
            </w:r>
            <w:bookmarkStart w:id="46" w:name="xdx_405_eus-gaap--PrepaidExpenseAndOther"/>
            <w:bookmarkEnd w:id="46"/>
          </w:p>
        </w:tc>
      </w:tr>
      <w:tr>
        <w:trPr/>
        <w:tc>
          <w:tcPr>
            <w:tcW w:w="7636" w:type="dxa"/>
            <w:tcBorders/>
            <w:shd w:fill="CCEEFF" w:val="clear"/>
            <w:vAlign w:val="center"/>
          </w:tcPr>
          <w:p>
            <w:pPr>
              <w:pStyle w:val="TableContents"/>
              <w:bidi w:val="0"/>
              <w:spacing w:before="0" w:after="283"/>
              <w:jc w:val="left"/>
              <w:rPr/>
            </w:pPr>
            <w:r>
              <w:rPr/>
              <w:t>Prepaid expenses and other current assets, net of allowance of $</w:t>
            </w:r>
            <w:bookmarkStart w:id="47" w:name="xdx_90C_ecustom--PrepaidExpensesAndOther"/>
            <w:bookmarkEnd w:id="47"/>
            <w:r>
              <w:rPr/>
              <w:t>1 and $</w:t>
            </w:r>
            <w:bookmarkStart w:id="48" w:name="xdx_909_ecustom--PrepaidExpensesAndOther"/>
            <w:bookmarkEnd w:id="48"/>
            <w:r>
              <w:rPr/>
              <w:t>0, as of June 30, 2026, and March 31, 2026, respectively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6,383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6,170</w:t>
            </w:r>
          </w:p>
        </w:tc>
        <w:tc>
          <w:tcPr>
            <w:tcW w:w="87" w:type="dxa"/>
            <w:tcBorders/>
            <w:shd w:fill="CCEEFF" w:val="clear"/>
            <w:vAlign w:val="center"/>
          </w:tcPr>
          <w:p>
            <w:pPr>
              <w:pStyle w:val="TableContents"/>
              <w:bidi w:val="0"/>
              <w:spacing w:before="0" w:after="283"/>
              <w:ind w:left="0" w:right="0" w:hanging="180"/>
              <w:jc w:val="left"/>
              <w:rPr/>
            </w:pPr>
            <w:r>
              <w:rPr/>
              <w:t> </w:t>
            </w:r>
            <w:bookmarkStart w:id="49" w:name="xdx_405_ecustom--DeferredTransactionsCos"/>
            <w:bookmarkEnd w:id="49"/>
          </w:p>
        </w:tc>
      </w:tr>
      <w:tr>
        <w:trPr/>
        <w:tc>
          <w:tcPr>
            <w:tcW w:w="7636" w:type="dxa"/>
            <w:tcBorders/>
            <w:shd w:fill="FFFFFF" w:val="clear"/>
            <w:vAlign w:val="center"/>
          </w:tcPr>
          <w:p>
            <w:pPr>
              <w:pStyle w:val="TableContents"/>
              <w:bidi w:val="0"/>
              <w:spacing w:before="0" w:after="283"/>
              <w:jc w:val="left"/>
              <w:rPr/>
            </w:pPr>
            <w:r>
              <w:rPr/>
              <w:t>Deferred transactions costs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87" w:type="dxa"/>
            <w:tcBorders/>
            <w:shd w:fill="FFFFFF" w:val="clear"/>
            <w:vAlign w:val="center"/>
          </w:tcPr>
          <w:p>
            <w:pPr>
              <w:pStyle w:val="TableContents"/>
              <w:bidi w:val="0"/>
              <w:spacing w:before="0" w:after="283"/>
              <w:ind w:left="0" w:right="0" w:hanging="180"/>
              <w:jc w:val="left"/>
              <w:rPr/>
            </w:pPr>
            <w:r>
              <w:rPr/>
              <w:t> </w:t>
            </w:r>
            <w:bookmarkStart w:id="50" w:name="xdx_403_eus-gaap--AssetsCurrent_i01TI_mt"/>
            <w:bookmarkEnd w:id="50"/>
          </w:p>
        </w:tc>
      </w:tr>
      <w:tr>
        <w:trPr/>
        <w:tc>
          <w:tcPr>
            <w:tcW w:w="7636"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23,892</w:t>
            </w:r>
          </w:p>
        </w:tc>
        <w:tc>
          <w:tcPr>
            <w:tcW w:w="87" w:type="dxa"/>
            <w:tcBorders/>
            <w:shd w:fill="CCEEFF" w:val="clear"/>
            <w:vAlign w:val="center"/>
          </w:tcPr>
          <w:p>
            <w:pPr>
              <w:pStyle w:val="TableContents"/>
              <w:bidi w:val="0"/>
              <w:spacing w:before="0" w:after="283"/>
              <w:ind w:left="0" w:right="0" w:hanging="180"/>
              <w:jc w:val="left"/>
              <w:rPr/>
            </w:pPr>
            <w:r>
              <w:rPr/>
              <w:t> </w:t>
            </w:r>
            <w:bookmarkStart w:id="51" w:name="xdx_401_eus-gaap--PropertyPlantAndEquipm"/>
            <w:bookmarkEnd w:id="51"/>
          </w:p>
        </w:tc>
      </w:tr>
      <w:tr>
        <w:trPr/>
        <w:tc>
          <w:tcPr>
            <w:tcW w:w="763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1,750</w:t>
            </w:r>
          </w:p>
        </w:tc>
        <w:tc>
          <w:tcPr>
            <w:tcW w:w="87" w:type="dxa"/>
            <w:tcBorders/>
            <w:shd w:fill="FFFFFF" w:val="clear"/>
            <w:vAlign w:val="center"/>
          </w:tcPr>
          <w:p>
            <w:pPr>
              <w:pStyle w:val="TableContents"/>
              <w:bidi w:val="0"/>
              <w:spacing w:before="0" w:after="283"/>
              <w:ind w:left="0" w:right="0" w:hanging="180"/>
              <w:jc w:val="left"/>
              <w:rPr/>
            </w:pPr>
            <w:r>
              <w:rPr/>
              <w:t> </w:t>
            </w:r>
            <w:bookmarkStart w:id="52" w:name="xdx_401_eus-gaap--OperatingLeaseRightOfU"/>
            <w:bookmarkEnd w:id="52"/>
          </w:p>
        </w:tc>
      </w:tr>
      <w:tr>
        <w:trPr/>
        <w:tc>
          <w:tcPr>
            <w:tcW w:w="7636" w:type="dxa"/>
            <w:tcBorders/>
            <w:shd w:fill="CCEEFF" w:val="clear"/>
            <w:vAlign w:val="center"/>
          </w:tcPr>
          <w:p>
            <w:pPr>
              <w:pStyle w:val="TableContents"/>
              <w:bidi w:val="0"/>
              <w:spacing w:before="0" w:after="283"/>
              <w:jc w:val="left"/>
              <w:rPr/>
            </w:pPr>
            <w:r>
              <w:rPr/>
              <w:t>Operating right-of-use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6,676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8,608</w:t>
            </w:r>
          </w:p>
        </w:tc>
        <w:tc>
          <w:tcPr>
            <w:tcW w:w="87" w:type="dxa"/>
            <w:tcBorders/>
            <w:shd w:fill="CCEEFF" w:val="clear"/>
            <w:vAlign w:val="center"/>
          </w:tcPr>
          <w:p>
            <w:pPr>
              <w:pStyle w:val="TableContents"/>
              <w:bidi w:val="0"/>
              <w:spacing w:before="0" w:after="283"/>
              <w:ind w:left="0" w:right="0" w:hanging="180"/>
              <w:jc w:val="left"/>
              <w:rPr/>
            </w:pPr>
            <w:r>
              <w:rPr/>
              <w:t> </w:t>
            </w:r>
            <w:bookmarkStart w:id="53" w:name="xdx_407_eus-gaap--DeferredIncomeTaxAsset"/>
            <w:bookmarkEnd w:id="53"/>
          </w:p>
        </w:tc>
      </w:tr>
      <w:tr>
        <w:trPr/>
        <w:tc>
          <w:tcPr>
            <w:tcW w:w="7636"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4,124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3,689</w:t>
            </w:r>
          </w:p>
        </w:tc>
        <w:tc>
          <w:tcPr>
            <w:tcW w:w="87" w:type="dxa"/>
            <w:tcBorders/>
            <w:shd w:fill="FFFFFF" w:val="clear"/>
            <w:vAlign w:val="center"/>
          </w:tcPr>
          <w:p>
            <w:pPr>
              <w:pStyle w:val="TableContents"/>
              <w:bidi w:val="0"/>
              <w:spacing w:before="0" w:after="283"/>
              <w:ind w:left="0" w:right="0" w:hanging="180"/>
              <w:jc w:val="left"/>
              <w:rPr/>
            </w:pPr>
            <w:r>
              <w:rPr/>
              <w:t> </w:t>
            </w:r>
            <w:bookmarkStart w:id="54" w:name="xdx_40D_eus-gaap--LongTermInvestments_i0"/>
            <w:bookmarkEnd w:id="54"/>
          </w:p>
        </w:tc>
      </w:tr>
      <w:tr>
        <w:trPr/>
        <w:tc>
          <w:tcPr>
            <w:tcW w:w="7636" w:type="dxa"/>
            <w:tcBorders/>
            <w:shd w:fill="CCEEFF" w:val="clear"/>
            <w:vAlign w:val="center"/>
          </w:tcPr>
          <w:p>
            <w:pPr>
              <w:pStyle w:val="TableContents"/>
              <w:bidi w:val="0"/>
              <w:spacing w:before="0" w:after="283"/>
              <w:jc w:val="left"/>
              <w:rPr/>
            </w:pPr>
            <w:r>
              <w:rPr/>
              <w:t>Long-term investments, net of allowance of $</w:t>
            </w:r>
            <w:bookmarkStart w:id="55" w:name="xdx_908_ecustom--LongtermInvestmentsNetO"/>
            <w:bookmarkEnd w:id="55"/>
            <w:r>
              <w:rPr/>
              <w:t>52 and $</w:t>
            </w:r>
            <w:bookmarkStart w:id="56" w:name="xdx_900_ecustom--LongtermInvestmentsNetO"/>
            <w:bookmarkEnd w:id="56"/>
            <w:r>
              <w:rPr/>
              <w:t>76, as of June 30, 2026, and March 31, 2026, respectively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1,896</w:t>
            </w:r>
          </w:p>
        </w:tc>
        <w:tc>
          <w:tcPr>
            <w:tcW w:w="87" w:type="dxa"/>
            <w:tcBorders/>
            <w:shd w:fill="CCEEFF" w:val="clear"/>
            <w:vAlign w:val="center"/>
          </w:tcPr>
          <w:p>
            <w:pPr>
              <w:pStyle w:val="TableContents"/>
              <w:bidi w:val="0"/>
              <w:spacing w:before="0" w:after="283"/>
              <w:ind w:left="0" w:right="0" w:hanging="180"/>
              <w:jc w:val="left"/>
              <w:rPr/>
            </w:pPr>
            <w:r>
              <w:rPr/>
              <w:t> </w:t>
            </w:r>
            <w:bookmarkStart w:id="57" w:name="xdx_406_eus-gaap--OtherAssetsNoncurrent_"/>
            <w:bookmarkEnd w:id="57"/>
          </w:p>
        </w:tc>
      </w:tr>
      <w:tr>
        <w:trPr/>
        <w:tc>
          <w:tcPr>
            <w:tcW w:w="7636"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shd w:fill="FFFFFF" w:val="clear"/>
            <w:tcMar>
              <w:bottom w:w="28" w:type="dxa"/>
            </w:tcMar>
            <w:vAlign w:val="center"/>
          </w:tcPr>
          <w:p>
            <w:pPr>
              <w:pStyle w:val="TableContents"/>
              <w:bidi w:val="0"/>
              <w:spacing w:before="0" w:after="283"/>
              <w:jc w:val="right"/>
              <w:rPr/>
            </w:pPr>
            <w:r>
              <w:rPr/>
              <w:t>1,609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2,059</w:t>
            </w:r>
          </w:p>
        </w:tc>
        <w:tc>
          <w:tcPr>
            <w:tcW w:w="87" w:type="dxa"/>
            <w:tcBorders/>
            <w:shd w:fill="FFFFFF" w:val="clear"/>
            <w:vAlign w:val="center"/>
          </w:tcPr>
          <w:p>
            <w:pPr>
              <w:pStyle w:val="TableContents"/>
              <w:bidi w:val="0"/>
              <w:spacing w:before="0" w:after="283"/>
              <w:ind w:left="0" w:right="0" w:hanging="180"/>
              <w:jc w:val="left"/>
              <w:rPr/>
            </w:pPr>
            <w:r>
              <w:rPr/>
              <w:t> </w:t>
            </w:r>
            <w:bookmarkStart w:id="58" w:name="xdx_403_eus-gaap--Assets_iTI_mtCznPC_z5L"/>
            <w:bookmarkEnd w:id="58"/>
          </w:p>
        </w:tc>
      </w:tr>
      <w:tr>
        <w:trPr/>
        <w:tc>
          <w:tcPr>
            <w:tcW w:w="7636"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41,894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59" w:name="xdx_40A_eus-gaap--LiabilitiesAndStockhol"/>
            <w:bookmarkEnd w:id="59"/>
          </w:p>
        </w:tc>
      </w:tr>
      <w:tr>
        <w:trPr/>
        <w:tc>
          <w:tcPr>
            <w:tcW w:w="7636" w:type="dxa"/>
            <w:tcBorders/>
            <w:shd w:fill="CCEEFF" w:val="clear"/>
            <w:vAlign w:val="center"/>
          </w:tcPr>
          <w:p>
            <w:pPr>
              <w:pStyle w:val="TableContents"/>
              <w:bidi w:val="0"/>
              <w:spacing w:before="0" w:after="283"/>
              <w:jc w:val="left"/>
              <w:rPr>
                <w:b/>
              </w:rPr>
            </w:pPr>
            <w:r>
              <w:rPr>
                <w:b/>
              </w:rPr>
              <w:t>LIABILITIES, REDEEMABLE NONCONTROLLING INTEREST AND SHAREHOLDERS EQUITY / (DEFICIT)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60" w:name="xdx_401_eus-gaap--LiabilitiesCurrentAbst"/>
            <w:bookmarkEnd w:id="60"/>
          </w:p>
        </w:tc>
      </w:tr>
      <w:tr>
        <w:trPr/>
        <w:tc>
          <w:tcPr>
            <w:tcW w:w="763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61" w:name="xdx_404_eus-gaap--AccountsPayableCurrent"/>
            <w:bookmarkEnd w:id="61"/>
          </w:p>
        </w:tc>
      </w:tr>
      <w:tr>
        <w:trPr/>
        <w:tc>
          <w:tcPr>
            <w:tcW w:w="763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11" w:type="dxa"/>
            <w:tcBorders/>
            <w:shd w:fill="CCEEFF" w:val="clear"/>
            <w:vAlign w:val="center"/>
          </w:tcPr>
          <w:p>
            <w:pPr>
              <w:pStyle w:val="TableContents"/>
              <w:bidi w:val="0"/>
              <w:spacing w:before="0" w:after="283"/>
              <w:jc w:val="right"/>
              <w:rPr/>
            </w:pPr>
            <w:r>
              <w:rPr/>
              <w:t>8,873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9,270</w:t>
            </w:r>
          </w:p>
        </w:tc>
        <w:tc>
          <w:tcPr>
            <w:tcW w:w="87" w:type="dxa"/>
            <w:tcBorders/>
            <w:shd w:fill="CCEEFF" w:val="clear"/>
            <w:vAlign w:val="center"/>
          </w:tcPr>
          <w:p>
            <w:pPr>
              <w:pStyle w:val="TableContents"/>
              <w:bidi w:val="0"/>
              <w:spacing w:before="0" w:after="283"/>
              <w:ind w:left="0" w:right="0" w:hanging="180"/>
              <w:jc w:val="left"/>
              <w:rPr/>
            </w:pPr>
            <w:r>
              <w:rPr/>
              <w:t> </w:t>
            </w:r>
            <w:bookmarkStart w:id="62" w:name="xdx_401_eus-gaap--AccruedBonusesCurrent_"/>
            <w:bookmarkEnd w:id="62"/>
          </w:p>
        </w:tc>
      </w:tr>
      <w:tr>
        <w:trPr/>
        <w:tc>
          <w:tcPr>
            <w:tcW w:w="7636" w:type="dxa"/>
            <w:tcBorders/>
            <w:shd w:fill="FFFFFF" w:val="clear"/>
            <w:vAlign w:val="center"/>
          </w:tcPr>
          <w:p>
            <w:pPr>
              <w:pStyle w:val="TableContents"/>
              <w:bidi w:val="0"/>
              <w:spacing w:before="0" w:after="283"/>
              <w:jc w:val="left"/>
              <w:rPr/>
            </w:pPr>
            <w:r>
              <w:rPr/>
              <w:t>Accrued compensation and related benefits, current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2,342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3,568</w:t>
            </w:r>
          </w:p>
        </w:tc>
        <w:tc>
          <w:tcPr>
            <w:tcW w:w="87" w:type="dxa"/>
            <w:tcBorders/>
            <w:shd w:fill="FFFFFF" w:val="clear"/>
            <w:vAlign w:val="center"/>
          </w:tcPr>
          <w:p>
            <w:pPr>
              <w:pStyle w:val="TableContents"/>
              <w:bidi w:val="0"/>
              <w:spacing w:before="0" w:after="283"/>
              <w:ind w:left="0" w:right="0" w:hanging="180"/>
              <w:jc w:val="left"/>
              <w:rPr/>
            </w:pPr>
            <w:r>
              <w:rPr/>
              <w:t> </w:t>
            </w:r>
            <w:bookmarkStart w:id="63" w:name="xdx_401_eus-gaap--OperatingLeaseLiabilit"/>
            <w:bookmarkEnd w:id="63"/>
          </w:p>
        </w:tc>
      </w:tr>
      <w:tr>
        <w:trPr/>
        <w:tc>
          <w:tcPr>
            <w:tcW w:w="7636"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2,694</w:t>
            </w:r>
          </w:p>
        </w:tc>
        <w:tc>
          <w:tcPr>
            <w:tcW w:w="87" w:type="dxa"/>
            <w:tcBorders/>
            <w:shd w:fill="CCEEFF" w:val="clear"/>
            <w:vAlign w:val="center"/>
          </w:tcPr>
          <w:p>
            <w:pPr>
              <w:pStyle w:val="TableContents"/>
              <w:bidi w:val="0"/>
              <w:spacing w:before="0" w:after="283"/>
              <w:ind w:left="0" w:right="0" w:hanging="180"/>
              <w:jc w:val="left"/>
              <w:rPr/>
            </w:pPr>
            <w:r>
              <w:rPr/>
              <w:t> </w:t>
            </w:r>
            <w:bookmarkStart w:id="64" w:name="xdx_400_eus-gaap--ShortTermBorrowings_i0"/>
            <w:bookmarkEnd w:id="64"/>
          </w:p>
        </w:tc>
      </w:tr>
      <w:tr>
        <w:trPr/>
        <w:tc>
          <w:tcPr>
            <w:tcW w:w="7636" w:type="dxa"/>
            <w:tcBorders/>
            <w:shd w:fill="FFFFFF" w:val="clear"/>
            <w:vAlign w:val="center"/>
          </w:tcPr>
          <w:p>
            <w:pPr>
              <w:pStyle w:val="TableContents"/>
              <w:bidi w:val="0"/>
              <w:spacing w:before="0" w:after="283"/>
              <w:jc w:val="left"/>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3,275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4,436</w:t>
            </w:r>
          </w:p>
        </w:tc>
        <w:tc>
          <w:tcPr>
            <w:tcW w:w="87" w:type="dxa"/>
            <w:tcBorders/>
            <w:shd w:fill="FFFFFF" w:val="clear"/>
            <w:vAlign w:val="center"/>
          </w:tcPr>
          <w:p>
            <w:pPr>
              <w:pStyle w:val="TableContents"/>
              <w:bidi w:val="0"/>
              <w:spacing w:before="0" w:after="283"/>
              <w:ind w:left="0" w:right="0" w:hanging="180"/>
              <w:jc w:val="left"/>
              <w:rPr/>
            </w:pPr>
            <w:r>
              <w:rPr/>
              <w:t> </w:t>
            </w:r>
            <w:bookmarkStart w:id="65" w:name="xdx_406_ecustom--ForwardPurchaseAgreemen"/>
            <w:bookmarkEnd w:id="65"/>
          </w:p>
        </w:tc>
      </w:tr>
      <w:tr>
        <w:trPr/>
        <w:tc>
          <w:tcPr>
            <w:tcW w:w="7636" w:type="dxa"/>
            <w:tcBorders/>
            <w:shd w:fill="CCEEFF" w:val="clear"/>
            <w:vAlign w:val="center"/>
          </w:tcPr>
          <w:p>
            <w:pPr>
              <w:pStyle w:val="TableContents"/>
              <w:bidi w:val="0"/>
              <w:spacing w:before="0" w:after="283"/>
              <w:jc w:val="left"/>
              <w:rPr/>
            </w:pPr>
            <w:r>
              <w:rPr/>
              <w:t>Forward purchase agreement put option liability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4,068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4,287</w:t>
            </w:r>
          </w:p>
        </w:tc>
        <w:tc>
          <w:tcPr>
            <w:tcW w:w="87" w:type="dxa"/>
            <w:tcBorders/>
            <w:shd w:fill="CCEEFF" w:val="clear"/>
            <w:vAlign w:val="center"/>
          </w:tcPr>
          <w:p>
            <w:pPr>
              <w:pStyle w:val="TableContents"/>
              <w:bidi w:val="0"/>
              <w:spacing w:before="0" w:after="283"/>
              <w:ind w:left="0" w:right="0" w:hanging="180"/>
              <w:jc w:val="left"/>
              <w:rPr/>
            </w:pPr>
            <w:r>
              <w:rPr/>
              <w:t> </w:t>
            </w:r>
            <w:bookmarkStart w:id="66" w:name="xdx_400_eus-gaap--OtherLiabilitiesCurren"/>
            <w:bookmarkEnd w:id="66"/>
          </w:p>
        </w:tc>
      </w:tr>
      <w:tr>
        <w:trPr/>
        <w:tc>
          <w:tcPr>
            <w:tcW w:w="7636"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shd w:fill="FFFFFF" w:val="clear"/>
            <w:tcMar>
              <w:bottom w:w="28" w:type="dxa"/>
            </w:tcMar>
            <w:vAlign w:val="center"/>
          </w:tcPr>
          <w:p>
            <w:pPr>
              <w:pStyle w:val="TableContents"/>
              <w:bidi w:val="0"/>
              <w:spacing w:before="0" w:after="283"/>
              <w:jc w:val="right"/>
              <w:rPr/>
            </w:pPr>
            <w:r>
              <w:rPr/>
              <w:t>9,577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6,434</w:t>
            </w:r>
          </w:p>
        </w:tc>
        <w:tc>
          <w:tcPr>
            <w:tcW w:w="87" w:type="dxa"/>
            <w:tcBorders/>
            <w:shd w:fill="FFFFFF" w:val="clear"/>
            <w:vAlign w:val="center"/>
          </w:tcPr>
          <w:p>
            <w:pPr>
              <w:pStyle w:val="TableContents"/>
              <w:bidi w:val="0"/>
              <w:spacing w:before="0" w:after="283"/>
              <w:ind w:left="0" w:right="0" w:hanging="180"/>
              <w:jc w:val="left"/>
              <w:rPr/>
            </w:pPr>
            <w:r>
              <w:rPr/>
              <w:t> </w:t>
            </w:r>
            <w:bookmarkStart w:id="67" w:name="xdx_40D_eus-gaap--LiabilitiesCurrent_i01"/>
            <w:bookmarkEnd w:id="67"/>
          </w:p>
        </w:tc>
      </w:tr>
      <w:tr>
        <w:trPr/>
        <w:tc>
          <w:tcPr>
            <w:tcW w:w="7636"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30,689</w:t>
            </w:r>
          </w:p>
        </w:tc>
        <w:tc>
          <w:tcPr>
            <w:tcW w:w="87" w:type="dxa"/>
            <w:tcBorders/>
            <w:shd w:fill="CCEEFF" w:val="clear"/>
            <w:vAlign w:val="center"/>
          </w:tcPr>
          <w:p>
            <w:pPr>
              <w:pStyle w:val="TableContents"/>
              <w:bidi w:val="0"/>
              <w:spacing w:before="0" w:after="283"/>
              <w:ind w:left="0" w:right="0" w:hanging="180"/>
              <w:jc w:val="left"/>
              <w:rPr/>
            </w:pPr>
            <w:r>
              <w:rPr/>
              <w:t> </w:t>
            </w:r>
            <w:bookmarkStart w:id="68" w:name="xdx_407_eus-gaap--LongTermDebtNoncurrent"/>
            <w:bookmarkEnd w:id="68"/>
          </w:p>
        </w:tc>
      </w:tr>
      <w:tr>
        <w:trPr/>
        <w:tc>
          <w:tcPr>
            <w:tcW w:w="7636" w:type="dxa"/>
            <w:tcBorders/>
            <w:shd w:fill="FFFFFF" w:val="clear"/>
            <w:vAlign w:val="center"/>
          </w:tcPr>
          <w:p>
            <w:pPr>
              <w:pStyle w:val="TableContents"/>
              <w:bidi w:val="0"/>
              <w:spacing w:before="0" w:after="283"/>
              <w:jc w:val="left"/>
              <w:rPr/>
            </w:pPr>
            <w:r>
              <w:rPr/>
              <w:t>Long term debt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798</w:t>
            </w:r>
          </w:p>
        </w:tc>
        <w:tc>
          <w:tcPr>
            <w:tcW w:w="87" w:type="dxa"/>
            <w:tcBorders/>
            <w:shd w:fill="FFFFFF" w:val="clear"/>
            <w:vAlign w:val="center"/>
          </w:tcPr>
          <w:p>
            <w:pPr>
              <w:pStyle w:val="TableContents"/>
              <w:bidi w:val="0"/>
              <w:spacing w:before="0" w:after="283"/>
              <w:ind w:left="0" w:right="0" w:hanging="180"/>
              <w:jc w:val="left"/>
              <w:rPr/>
            </w:pPr>
            <w:r>
              <w:rPr/>
              <w:t> </w:t>
            </w:r>
            <w:bookmarkStart w:id="69" w:name="xdx_404_eus-gaap--OperatingLeaseLiabilit"/>
            <w:bookmarkEnd w:id="69"/>
          </w:p>
        </w:tc>
      </w:tr>
      <w:tr>
        <w:trPr/>
        <w:tc>
          <w:tcPr>
            <w:tcW w:w="7636"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5,796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6,358</w:t>
            </w:r>
          </w:p>
        </w:tc>
        <w:tc>
          <w:tcPr>
            <w:tcW w:w="87" w:type="dxa"/>
            <w:tcBorders/>
            <w:shd w:fill="CCEEFF" w:val="clear"/>
            <w:vAlign w:val="center"/>
          </w:tcPr>
          <w:p>
            <w:pPr>
              <w:pStyle w:val="TableContents"/>
              <w:bidi w:val="0"/>
              <w:spacing w:before="0" w:after="283"/>
              <w:ind w:left="0" w:right="0" w:hanging="180"/>
              <w:jc w:val="left"/>
              <w:rPr/>
            </w:pPr>
            <w:r>
              <w:rPr/>
              <w:t> </w:t>
            </w:r>
            <w:bookmarkStart w:id="70" w:name="xdx_401_eus-gaap--DerivativeLiabilitiesN"/>
            <w:bookmarkEnd w:id="70"/>
          </w:p>
        </w:tc>
      </w:tr>
      <w:tr>
        <w:trPr/>
        <w:tc>
          <w:tcPr>
            <w:tcW w:w="7636" w:type="dxa"/>
            <w:tcBorders/>
            <w:shd w:fill="FFFFFF" w:val="clear"/>
            <w:vAlign w:val="center"/>
          </w:tcPr>
          <w:p>
            <w:pPr>
              <w:pStyle w:val="TableContents"/>
              <w:bidi w:val="0"/>
              <w:spacing w:before="0" w:after="283"/>
              <w:jc w:val="left"/>
              <w:rPr/>
            </w:pPr>
            <w:r>
              <w:rPr/>
              <w:t>Derivative warrant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421</w:t>
            </w:r>
          </w:p>
        </w:tc>
        <w:tc>
          <w:tcPr>
            <w:tcW w:w="87" w:type="dxa"/>
            <w:tcBorders/>
            <w:shd w:fill="FFFFFF" w:val="clear"/>
            <w:vAlign w:val="center"/>
          </w:tcPr>
          <w:p>
            <w:pPr>
              <w:pStyle w:val="TableContents"/>
              <w:bidi w:val="0"/>
              <w:spacing w:before="0" w:after="283"/>
              <w:ind w:left="0" w:right="0" w:hanging="180"/>
              <w:jc w:val="left"/>
              <w:rPr/>
            </w:pPr>
            <w:r>
              <w:rPr/>
              <w:t> </w:t>
            </w:r>
            <w:bookmarkStart w:id="71" w:name="xdx_404_eus-gaap--DeferredIncomeTaxLiabi"/>
            <w:bookmarkEnd w:id="71"/>
          </w:p>
        </w:tc>
      </w:tr>
      <w:tr>
        <w:trPr/>
        <w:tc>
          <w:tcPr>
            <w:tcW w:w="7636"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197</w:t>
            </w:r>
          </w:p>
        </w:tc>
        <w:tc>
          <w:tcPr>
            <w:tcW w:w="87" w:type="dxa"/>
            <w:tcBorders/>
            <w:shd w:fill="CCEEFF" w:val="clear"/>
            <w:vAlign w:val="center"/>
          </w:tcPr>
          <w:p>
            <w:pPr>
              <w:pStyle w:val="TableContents"/>
              <w:bidi w:val="0"/>
              <w:spacing w:before="0" w:after="283"/>
              <w:ind w:left="0" w:right="0" w:hanging="180"/>
              <w:jc w:val="left"/>
              <w:rPr/>
            </w:pPr>
            <w:r>
              <w:rPr/>
              <w:t> </w:t>
            </w:r>
            <w:bookmarkStart w:id="72" w:name="xdx_403_eus-gaap--OtherLiabilitiesNoncur"/>
            <w:bookmarkEnd w:id="72"/>
          </w:p>
        </w:tc>
      </w:tr>
      <w:tr>
        <w:trPr/>
        <w:tc>
          <w:tcPr>
            <w:tcW w:w="7636"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shd w:fill="FFFFFF" w:val="clear"/>
            <w:tcMar>
              <w:bottom w:w="28" w:type="dxa"/>
            </w:tcMar>
            <w:vAlign w:val="center"/>
          </w:tcPr>
          <w:p>
            <w:pPr>
              <w:pStyle w:val="TableContents"/>
              <w:bidi w:val="0"/>
              <w:spacing w:before="0" w:after="283"/>
              <w:jc w:val="right"/>
              <w:rPr/>
            </w:pPr>
            <w:r>
              <w:rPr/>
              <w:t>6,396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6,016</w:t>
            </w:r>
          </w:p>
        </w:tc>
        <w:tc>
          <w:tcPr>
            <w:tcW w:w="87" w:type="dxa"/>
            <w:tcBorders/>
            <w:shd w:fill="FFFFFF" w:val="clear"/>
            <w:vAlign w:val="center"/>
          </w:tcPr>
          <w:p>
            <w:pPr>
              <w:pStyle w:val="TableContents"/>
              <w:bidi w:val="0"/>
              <w:spacing w:before="0" w:after="283"/>
              <w:ind w:left="0" w:right="0" w:hanging="180"/>
              <w:jc w:val="left"/>
              <w:rPr/>
            </w:pPr>
            <w:r>
              <w:rPr/>
              <w:t> </w:t>
            </w:r>
            <w:bookmarkStart w:id="73" w:name="xdx_402_eus-gaap--Liabilities_iTI_mtCzfi"/>
            <w:bookmarkEnd w:id="73"/>
          </w:p>
        </w:tc>
      </w:tr>
      <w:tr>
        <w:trPr/>
        <w:tc>
          <w:tcPr>
            <w:tcW w:w="7636"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44,479</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74" w:name="xdx_40F_eus-gaap--CommitmentsAndContinge"/>
            <w:bookmarkEnd w:id="74"/>
          </w:p>
        </w:tc>
      </w:tr>
      <w:tr>
        <w:trPr/>
        <w:tc>
          <w:tcPr>
            <w:tcW w:w="7636" w:type="dxa"/>
            <w:tcBorders/>
            <w:shd w:fill="CCEEFF" w:val="clear"/>
            <w:vAlign w:val="center"/>
          </w:tcPr>
          <w:p>
            <w:pPr>
              <w:pStyle w:val="TableContents"/>
              <w:bidi w:val="0"/>
              <w:spacing w:before="0" w:after="283"/>
              <w:jc w:val="left"/>
              <w:rPr>
                <w:b/>
              </w:rPr>
            </w:pPr>
            <w:r>
              <w:rPr>
                <w:b/>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75" w:name="xdx_404_eus-gaap--RedeemableNoncontrolli"/>
            <w:bookmarkEnd w:id="75"/>
          </w:p>
        </w:tc>
      </w:tr>
      <w:tr>
        <w:trPr/>
        <w:tc>
          <w:tcPr>
            <w:tcW w:w="7636" w:type="dxa"/>
            <w:tcBorders/>
            <w:shd w:fill="CCEEFF" w:val="clear"/>
            <w:vAlign w:val="center"/>
          </w:tcPr>
          <w:p>
            <w:pPr>
              <w:pStyle w:val="TableContents"/>
              <w:bidi w:val="0"/>
              <w:spacing w:before="0" w:after="283"/>
              <w:jc w:val="left"/>
              <w:rPr>
                <w:b/>
              </w:rPr>
            </w:pPr>
            <w:r>
              <w:rPr>
                <w:b/>
              </w:rPr>
              <w:t>Redeemable noncontrolling interest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b/>
              </w:rPr>
            </w:pPr>
            <w:r>
              <w:rPr>
                <w:b/>
              </w:rPr>
              <w:t>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b/>
              </w:rPr>
            </w:pPr>
            <w:r>
              <w:rPr>
                <w:b/>
              </w:rPr>
              <w:t>448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76" w:name="xdx_409_eus-gaap--StockholdersEquityAbst"/>
            <w:bookmarkEnd w:id="76"/>
          </w:p>
        </w:tc>
      </w:tr>
      <w:tr>
        <w:trPr/>
        <w:tc>
          <w:tcPr>
            <w:tcW w:w="7636" w:type="dxa"/>
            <w:tcBorders/>
            <w:shd w:fill="CCEEFF" w:val="clear"/>
            <w:vAlign w:val="center"/>
          </w:tcPr>
          <w:p>
            <w:pPr>
              <w:pStyle w:val="TableContents"/>
              <w:bidi w:val="0"/>
              <w:spacing w:before="0" w:after="283"/>
              <w:jc w:val="left"/>
              <w:rPr>
                <w:b/>
              </w:rPr>
            </w:pPr>
            <w:r>
              <w:rPr>
                <w:b/>
              </w:rPr>
              <w:t>Shareholders equity / (deficit)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77" w:name="xdx_401_eus-gaap--PreferredStockValue_i0"/>
            <w:bookmarkEnd w:id="77"/>
          </w:p>
        </w:tc>
      </w:tr>
      <w:tr>
        <w:trPr/>
        <w:tc>
          <w:tcPr>
            <w:tcW w:w="7636" w:type="dxa"/>
            <w:tcBorders/>
            <w:shd w:fill="FFFFFF" w:val="clear"/>
            <w:vAlign w:val="center"/>
          </w:tcPr>
          <w:p>
            <w:pPr>
              <w:pStyle w:val="TableContents"/>
              <w:bidi w:val="0"/>
              <w:spacing w:before="0" w:after="283"/>
              <w:jc w:val="left"/>
              <w:rPr/>
            </w:pPr>
            <w:r>
              <w:rPr/>
              <w:t>Preference shares, $</w:t>
            </w:r>
            <w:bookmarkStart w:id="78" w:name="xdx_90E_eus-gaap--PreferredStockParOrSta"/>
            <w:bookmarkStart w:id="79" w:name="xdx_908_eus-gaap--PreferredStockParOrSta"/>
            <w:bookmarkEnd w:id="78"/>
            <w:bookmarkEnd w:id="79"/>
            <w:r>
              <w:rPr/>
              <w:t xml:space="preserve">0.0001 par value; </w:t>
            </w:r>
            <w:bookmarkStart w:id="80" w:name="xdx_908_eus-gaap--PreferredStockSharesAu"/>
            <w:bookmarkStart w:id="81" w:name="xdx_90A_eus-gaap--PreferredStockSharesAu"/>
            <w:bookmarkEnd w:id="80"/>
            <w:bookmarkEnd w:id="81"/>
            <w:r>
              <w:rPr/>
              <w:t xml:space="preserve">5,000,000 shares authorized; </w:t>
            </w:r>
            <w:bookmarkStart w:id="82" w:name="xdx_909_eus-gaap--PreferredStockSharesOu"/>
            <w:bookmarkStart w:id="83" w:name="xdx_904_eus-gaap--PreferredStockSharesIs"/>
            <w:bookmarkStart w:id="84" w:name="xdx_902_eus-gaap--PreferredStockSharesOu"/>
            <w:bookmarkStart w:id="85" w:name="xdx_902_eus-gaap--PreferredStockSharesIs"/>
            <w:bookmarkEnd w:id="82"/>
            <w:bookmarkEnd w:id="83"/>
            <w:bookmarkEnd w:id="84"/>
            <w:bookmarkEnd w:id="85"/>
            <w:r>
              <w:rPr/>
              <w:t>none issued or outstanding</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36" w:type="dxa"/>
            <w:tcBorders/>
            <w:shd w:fill="CCEEFF" w:val="clear"/>
            <w:vAlign w:val="center"/>
          </w:tcPr>
          <w:p>
            <w:pPr>
              <w:pStyle w:val="TableContents"/>
              <w:bidi w:val="0"/>
              <w:spacing w:before="0" w:after="283"/>
              <w:jc w:val="left"/>
              <w:rPr/>
            </w:pPr>
            <w:r>
              <w:rPr/>
              <w:t>Class A ordinary shares, $</w:t>
            </w:r>
            <w:bookmarkStart w:id="86" w:name="xdx_907_eus-gaap--CommonStockParOrStated"/>
            <w:bookmarkStart w:id="87" w:name="xdx_904_eus-gaap--CommonStockParOrStated"/>
            <w:bookmarkEnd w:id="86"/>
            <w:bookmarkEnd w:id="87"/>
            <w:r>
              <w:rPr/>
              <w:t xml:space="preserve">0.0008 par value; </w:t>
            </w:r>
            <w:bookmarkStart w:id="88" w:name="xdx_90E_eus-gaap--CommonStockSharesAutho"/>
            <w:bookmarkStart w:id="89" w:name="xdx_902_eus-gaap--CommonStockSharesAutho"/>
            <w:bookmarkEnd w:id="88"/>
            <w:bookmarkEnd w:id="89"/>
            <w:r>
              <w:rPr/>
              <w:t xml:space="preserve">62,500,000 shares authorized; </w:t>
            </w:r>
            <w:bookmarkStart w:id="90" w:name="xdx_900_eus-gaap--CommonStockSharesOutst"/>
            <w:bookmarkStart w:id="91" w:name="xdx_90B_eus-gaap--CommonStockSharesIssue"/>
            <w:bookmarkEnd w:id="90"/>
            <w:bookmarkEnd w:id="91"/>
            <w:r>
              <w:rPr/>
              <w:t xml:space="preserve">5,642,911 shares issued and outstanding as of June 30, 2026, and </w:t>
            </w:r>
            <w:bookmarkStart w:id="92" w:name="xdx_90F_eus-gaap--CommonStockSharesOutst"/>
            <w:bookmarkStart w:id="93" w:name="xdx_90C_eus-gaap--CommonStockSharesIssue"/>
            <w:bookmarkEnd w:id="92"/>
            <w:bookmarkEnd w:id="93"/>
            <w:r>
              <w:rPr/>
              <w:t>6,062,184 shares issued and outstanding as of March 31, 2026</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bookmarkStart w:id="94" w:name="xdx_983_eus-gaap--CommonStockValue_i01I_"/>
            <w:bookmarkEnd w:id="94"/>
          </w:p>
        </w:tc>
        <w:tc>
          <w:tcPr>
            <w:tcW w:w="1011"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bookmarkStart w:id="95" w:name="xdx_98F_eus-gaap--CommonStockValue_i01I_"/>
            <w:bookmarkEnd w:id="95"/>
          </w:p>
        </w:tc>
        <w:tc>
          <w:tcPr>
            <w:tcW w:w="903" w:type="dxa"/>
            <w:tcBorders/>
            <w:shd w:fill="CCEEFF" w:val="clear"/>
            <w:vAlign w:val="center"/>
          </w:tcPr>
          <w:p>
            <w:pPr>
              <w:pStyle w:val="TableContents"/>
              <w:bidi w:val="0"/>
              <w:spacing w:before="0" w:after="283"/>
              <w:jc w:val="right"/>
              <w:rPr/>
            </w:pPr>
            <w:r>
              <w:rPr/>
              <w:t>5</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36" w:type="dxa"/>
            <w:tcBorders/>
            <w:shd w:fill="FFFFFF" w:val="clear"/>
            <w:vAlign w:val="center"/>
          </w:tcPr>
          <w:p>
            <w:pPr>
              <w:pStyle w:val="TableContents"/>
              <w:bidi w:val="0"/>
              <w:spacing w:before="0" w:after="283"/>
              <w:jc w:val="left"/>
              <w:rPr/>
            </w:pPr>
            <w:r>
              <w:rPr/>
              <w:t>Class V ordinary shares, $</w:t>
            </w:r>
            <w:bookmarkStart w:id="96" w:name="xdx_90B_eus-gaap--CommonStockParOrStated"/>
            <w:bookmarkStart w:id="97" w:name="xdx_907_eus-gaap--CommonStockParOrStated"/>
            <w:bookmarkEnd w:id="96"/>
            <w:bookmarkEnd w:id="97"/>
            <w:r>
              <w:rPr/>
              <w:t xml:space="preserve">0.0001 par value; </w:t>
            </w:r>
            <w:bookmarkStart w:id="98" w:name="xdx_907_eus-gaap--CommonStockSharesAutho"/>
            <w:bookmarkStart w:id="99" w:name="xdx_90B_eus-gaap--CommonStockSharesAutho"/>
            <w:bookmarkEnd w:id="98"/>
            <w:bookmarkEnd w:id="99"/>
            <w:r>
              <w:rPr/>
              <w:t xml:space="preserve">1 share authorized; </w:t>
            </w:r>
            <w:bookmarkStart w:id="100" w:name="xdx_909_eus-gaap--CommonStockSharesOutst"/>
            <w:bookmarkStart w:id="101" w:name="xdx_907_eus-gaap--CommonStockSharesIssue"/>
            <w:bookmarkEnd w:id="100"/>
            <w:bookmarkEnd w:id="101"/>
            <w:r>
              <w:rPr/>
              <w:t xml:space="preserve">1 share issued and outstanding as of June 30, 2026, and </w:t>
            </w:r>
            <w:bookmarkStart w:id="102" w:name="xdx_90F_eus-gaap--CommonStockSharesOutst"/>
            <w:bookmarkStart w:id="103" w:name="xdx_90D_eus-gaap--CommonStockSharesIssue"/>
            <w:bookmarkEnd w:id="102"/>
            <w:bookmarkEnd w:id="103"/>
            <w:r>
              <w:rPr/>
              <w:t>1 share issued and outstanding as of March 31, 2026</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bookmarkStart w:id="104" w:name="xdx_983_eus-gaap--CommonStockValue_i01I_"/>
            <w:bookmarkEnd w:id="104"/>
          </w:p>
        </w:tc>
        <w:tc>
          <w:tcPr>
            <w:tcW w:w="10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bookmarkStart w:id="105" w:name="xdx_982_eus-gaap--CommonStockValue_i01I_"/>
            <w:bookmarkEnd w:id="105"/>
          </w:p>
        </w:tc>
        <w:tc>
          <w:tcPr>
            <w:tcW w:w="903"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bookmarkStart w:id="106" w:name="xdx_403_eus-gaap--AdditionalPaidInCapita"/>
            <w:bookmarkEnd w:id="106"/>
          </w:p>
        </w:tc>
      </w:tr>
      <w:tr>
        <w:trPr/>
        <w:tc>
          <w:tcPr>
            <w:tcW w:w="7636" w:type="dxa"/>
            <w:tcBorders/>
            <w:shd w:fill="CCEEFF" w:val="clear"/>
            <w:vAlign w:val="center"/>
          </w:tcPr>
          <w:p>
            <w:pPr>
              <w:pStyle w:val="TableContents"/>
              <w:bidi w:val="0"/>
              <w:spacing w:before="0" w:after="283"/>
              <w:jc w:val="left"/>
              <w:rPr/>
            </w:pPr>
            <w:r>
              <w:rPr/>
              <w:t>Net shareholders investment and additional paid-in capital</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28,277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29,115</w:t>
            </w:r>
          </w:p>
        </w:tc>
        <w:tc>
          <w:tcPr>
            <w:tcW w:w="87" w:type="dxa"/>
            <w:tcBorders/>
            <w:shd w:fill="CCEEFF" w:val="clear"/>
            <w:vAlign w:val="center"/>
          </w:tcPr>
          <w:p>
            <w:pPr>
              <w:pStyle w:val="TableContents"/>
              <w:bidi w:val="0"/>
              <w:spacing w:before="0" w:after="283"/>
              <w:ind w:left="0" w:right="0" w:hanging="180"/>
              <w:jc w:val="left"/>
              <w:rPr/>
            </w:pPr>
            <w:r>
              <w:rPr/>
              <w:t> </w:t>
            </w:r>
            <w:bookmarkStart w:id="107" w:name="xdx_407_eus-gaap--TreasuryStockValue_iNI"/>
            <w:bookmarkEnd w:id="107"/>
          </w:p>
        </w:tc>
      </w:tr>
      <w:tr>
        <w:trPr/>
        <w:tc>
          <w:tcPr>
            <w:tcW w:w="7636" w:type="dxa"/>
            <w:tcBorders/>
            <w:shd w:fill="FFFFFF" w:val="clear"/>
            <w:vAlign w:val="center"/>
          </w:tcPr>
          <w:p>
            <w:pPr>
              <w:pStyle w:val="TableContents"/>
              <w:bidi w:val="0"/>
              <w:spacing w:before="0" w:after="283"/>
              <w:jc w:val="left"/>
              <w:rPr/>
            </w:pPr>
            <w:r>
              <w:rPr/>
              <w:t xml:space="preserve">Less: Class A ordinary shares held in treasury at cost; </w:t>
            </w:r>
            <w:bookmarkStart w:id="108" w:name="xdx_904_ecustom--TreasuryStockShare_iI_p"/>
            <w:bookmarkEnd w:id="108"/>
            <w:r>
              <w:rPr/>
              <w:t xml:space="preserve">431,688 shares as on June 30, 2026, and </w:t>
            </w:r>
            <w:bookmarkStart w:id="109" w:name="xdx_90C_ecustom--TreasuryStockShare_iI_p"/>
            <w:bookmarkEnd w:id="109"/>
            <w:r>
              <w:rPr/>
              <w:t>374,744 shares as on March 31, 2026</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(2,251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(1,304</w:t>
            </w:r>
          </w:p>
        </w:tc>
        <w:tc>
          <w:tcPr>
            <w:tcW w:w="87" w:type="dxa"/>
            <w:tcBorders/>
            <w:shd w:fill="FFFFFF" w:val="clear"/>
            <w:vAlign w:val="center"/>
          </w:tcPr>
          <w:p>
            <w:pPr>
              <w:pStyle w:val="TableContents"/>
              <w:bidi w:val="0"/>
              <w:spacing w:before="0" w:after="283"/>
              <w:ind w:left="0" w:right="0" w:hanging="180"/>
              <w:jc w:val="left"/>
              <w:rPr/>
            </w:pPr>
            <w:r>
              <w:rPr/>
              <w:t>)</w:t>
            </w:r>
            <w:bookmarkStart w:id="110" w:name="xdx_405_eus-gaap--AccumulatedOtherCompre"/>
            <w:bookmarkEnd w:id="110"/>
          </w:p>
        </w:tc>
      </w:tr>
      <w:tr>
        <w:trPr/>
        <w:tc>
          <w:tcPr>
            <w:tcW w:w="7636"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(1,739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(1,977</w:t>
            </w:r>
          </w:p>
        </w:tc>
        <w:tc>
          <w:tcPr>
            <w:tcW w:w="87" w:type="dxa"/>
            <w:tcBorders/>
            <w:shd w:fill="CCEEFF" w:val="clear"/>
            <w:vAlign w:val="center"/>
          </w:tcPr>
          <w:p>
            <w:pPr>
              <w:pStyle w:val="TableContents"/>
              <w:bidi w:val="0"/>
              <w:spacing w:before="0" w:after="283"/>
              <w:ind w:left="0" w:right="0" w:hanging="180"/>
              <w:jc w:val="left"/>
              <w:rPr/>
            </w:pPr>
            <w:r>
              <w:rPr/>
              <w:t>)</w:t>
            </w:r>
            <w:bookmarkStart w:id="111" w:name="xdx_409_eus-gaap--RetainedEarningsAccumu"/>
            <w:bookmarkEnd w:id="111"/>
          </w:p>
        </w:tc>
      </w:tr>
      <w:tr>
        <w:trPr/>
        <w:tc>
          <w:tcPr>
            <w:tcW w:w="763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shd w:fill="FFFFFF" w:val="clear"/>
            <w:tcMar>
              <w:bottom w:w="28" w:type="dxa"/>
            </w:tcMar>
            <w:vAlign w:val="center"/>
          </w:tcPr>
          <w:p>
            <w:pPr>
              <w:pStyle w:val="TableContents"/>
              <w:bidi w:val="0"/>
              <w:spacing w:before="0" w:after="283"/>
              <w:jc w:val="right"/>
              <w:rPr/>
            </w:pPr>
            <w:r>
              <w:rPr/>
              <w:t>(27,091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(28,873</w:t>
            </w:r>
          </w:p>
        </w:tc>
        <w:tc>
          <w:tcPr>
            <w:tcW w:w="87" w:type="dxa"/>
            <w:tcBorders/>
            <w:shd w:fill="FFFFFF" w:val="clear"/>
            <w:vAlign w:val="center"/>
          </w:tcPr>
          <w:p>
            <w:pPr>
              <w:pStyle w:val="TableContents"/>
              <w:bidi w:val="0"/>
              <w:spacing w:before="0" w:after="283"/>
              <w:ind w:left="0" w:right="0" w:hanging="180"/>
              <w:jc w:val="left"/>
              <w:rPr/>
            </w:pPr>
            <w:r>
              <w:rPr/>
              <w:t>)</w:t>
            </w:r>
            <w:bookmarkStart w:id="112" w:name="xdx_40C_eus-gaap--StockholdersEquity_iTI"/>
            <w:bookmarkEnd w:id="112"/>
          </w:p>
        </w:tc>
      </w:tr>
      <w:tr>
        <w:trPr/>
        <w:tc>
          <w:tcPr>
            <w:tcW w:w="7636" w:type="dxa"/>
            <w:tcBorders/>
            <w:shd w:fill="CCEEFF" w:val="clear"/>
            <w:vAlign w:val="center"/>
          </w:tcPr>
          <w:p>
            <w:pPr>
              <w:pStyle w:val="TableContents"/>
              <w:bidi w:val="0"/>
              <w:spacing w:before="0" w:after="283"/>
              <w:jc w:val="left"/>
              <w:rPr>
                <w:b/>
              </w:rPr>
            </w:pPr>
            <w:r>
              <w:rPr>
                <w:b/>
              </w:rPr>
              <w:t>Total Aeries Technology, Inc. shareholders equity / (deficit)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(3,034</w:t>
            </w:r>
          </w:p>
        </w:tc>
        <w:tc>
          <w:tcPr>
            <w:tcW w:w="87" w:type="dxa"/>
            <w:tcBorders/>
            <w:shd w:fill="CCEEFF" w:val="clear"/>
            <w:vAlign w:val="center"/>
          </w:tcPr>
          <w:p>
            <w:pPr>
              <w:pStyle w:val="TableContents"/>
              <w:bidi w:val="0"/>
              <w:spacing w:before="0" w:after="283"/>
              <w:ind w:left="0" w:right="0" w:hanging="180"/>
              <w:jc w:val="left"/>
              <w:rPr>
                <w:b/>
              </w:rPr>
            </w:pPr>
            <w:r>
              <w:rPr>
                <w:b/>
              </w:rPr>
              <w:t>)</w:t>
            </w:r>
            <w:bookmarkStart w:id="113" w:name="xdx_40F_eus-gaap--MinorityInterest_iI_ma"/>
            <w:bookmarkEnd w:id="113"/>
          </w:p>
        </w:tc>
      </w:tr>
      <w:tr>
        <w:trPr/>
        <w:tc>
          <w:tcPr>
            <w:tcW w:w="7636"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87" w:type="dxa"/>
            <w:tcBorders/>
            <w:shd w:fill="FFFFFF" w:val="clear"/>
            <w:vAlign w:val="center"/>
          </w:tcPr>
          <w:p>
            <w:pPr>
              <w:pStyle w:val="TableContents"/>
              <w:bidi w:val="0"/>
              <w:spacing w:before="0" w:after="283"/>
              <w:ind w:left="0" w:right="0" w:hanging="180"/>
              <w:jc w:val="left"/>
              <w:rPr/>
            </w:pPr>
            <w:r>
              <w:rPr/>
              <w:t> </w:t>
            </w:r>
            <w:bookmarkStart w:id="114" w:name="xdx_40C_eus-gaap--StockholdersEquityIncl"/>
            <w:bookmarkEnd w:id="114"/>
          </w:p>
        </w:tc>
      </w:tr>
      <w:tr>
        <w:trPr/>
        <w:tc>
          <w:tcPr>
            <w:tcW w:w="7636" w:type="dxa"/>
            <w:tcBorders/>
            <w:shd w:fill="CCEEFF" w:val="clear"/>
            <w:vAlign w:val="center"/>
          </w:tcPr>
          <w:p>
            <w:pPr>
              <w:pStyle w:val="TableContents"/>
              <w:bidi w:val="0"/>
              <w:spacing w:before="0" w:after="283"/>
              <w:jc w:val="left"/>
              <w:rPr>
                <w:b/>
              </w:rPr>
            </w:pPr>
            <w:r>
              <w:rPr>
                <w:b/>
              </w:rPr>
              <w:t>Total shareholders equity / (deficit)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(3,033</w:t>
            </w:r>
          </w:p>
        </w:tc>
        <w:tc>
          <w:tcPr>
            <w:tcW w:w="87" w:type="dxa"/>
            <w:tcBorders/>
            <w:shd w:fill="CCEEFF" w:val="clear"/>
            <w:vAlign w:val="center"/>
          </w:tcPr>
          <w:p>
            <w:pPr>
              <w:pStyle w:val="TableContents"/>
              <w:bidi w:val="0"/>
              <w:spacing w:before="0" w:after="283"/>
              <w:ind w:left="0" w:right="0" w:hanging="180"/>
              <w:jc w:val="left"/>
              <w:rPr>
                <w:b/>
              </w:rPr>
            </w:pPr>
            <w:r>
              <w:rPr>
                <w:b/>
              </w:rPr>
              <w:t>)</w:t>
            </w:r>
            <w:bookmarkStart w:id="115" w:name="xdx_40A_eus-gaap--LiabilitiesAndStockhol"/>
            <w:bookmarkEnd w:id="115"/>
          </w:p>
        </w:tc>
      </w:tr>
      <w:tr>
        <w:trPr/>
        <w:tc>
          <w:tcPr>
            <w:tcW w:w="7636" w:type="dxa"/>
            <w:tcBorders/>
            <w:shd w:fill="FFFFFF" w:val="clear"/>
            <w:vAlign w:val="center"/>
          </w:tcPr>
          <w:p>
            <w:pPr>
              <w:pStyle w:val="TableContents"/>
              <w:bidi w:val="0"/>
              <w:spacing w:before="0" w:after="283"/>
              <w:jc w:val="left"/>
              <w:rPr>
                <w:b/>
              </w:rPr>
            </w:pPr>
            <w:r>
              <w:rPr>
                <w:b/>
              </w:rPr>
              <w:t>Total liabilities, redeemable noncontrolling interest and shareholders equity / (deficit)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41,894</w:t>
            </w:r>
          </w:p>
        </w:tc>
        <w:tc>
          <w:tcPr>
            <w:tcW w:w="87"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br/>
        <w:t>The Company’s Class A ordinary shares outstanding as of March 31, 2026 has been retroactively restated for the Company’s June 2026 share consolidation.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6" w:name="a_004"/>
      <w:bookmarkEnd w:id="116"/>
      <w:r>
        <w:rPr>
          <w:rFonts w:ascii="Times New Roman;Times;Serif" w:hAnsi="Times New Roman;Times;Serif"/>
          <w:b/>
          <w:i w:val="false"/>
          <w:caps w:val="false"/>
          <w:smallCaps w:val="false"/>
          <w:sz w:val="20"/>
        </w:rPr>
        <w:t>AERIES TECHNOLOGY,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2026 and 2025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United States dollars, except share and per share amounts)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7" w:name="xdx_306_113_pn3n3_z0Qq95nCjDP3"/>
      <w:bookmarkStart w:id="118" w:name="xdx_306_113_pn3n3_z0Qq95nCjDP3"/>
      <w:bookmarkEnd w:id="118"/>
    </w:p>
    <w:tbl>
      <w:tblPr>
        <w:tblW w:w="10205" w:type="dxa"/>
        <w:jc w:val="left"/>
        <w:tblInd w:w="0" w:type="dxa"/>
        <w:tblLayout w:type="fixed"/>
        <w:tblCellMar>
          <w:top w:w="0" w:type="dxa"/>
          <w:left w:w="0" w:type="dxa"/>
          <w:bottom w:w="0" w:type="dxa"/>
          <w:right w:w="0" w:type="dxa"/>
        </w:tblCellMar>
      </w:tblPr>
      <w:tblGrid>
        <w:gridCol w:w="6240"/>
        <w:gridCol w:w="60"/>
        <w:gridCol w:w="248"/>
        <w:gridCol w:w="1742"/>
        <w:gridCol w:w="95"/>
        <w:gridCol w:w="60"/>
        <w:gridCol w:w="206"/>
        <w:gridCol w:w="1448"/>
        <w:gridCol w:w="106"/>
      </w:tblGrid>
      <w:tr>
        <w:trPr/>
        <w:tc>
          <w:tcPr>
            <w:tcW w:w="624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bookmarkStart w:id="119" w:name="xdx_49A_20260401__20260630_zSgFJhIG8D1k"/>
            <w:bookmarkEnd w:id="119"/>
          </w:p>
        </w:tc>
        <w:tc>
          <w:tcPr>
            <w:tcW w:w="17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bookmarkStart w:id="120" w:name="xdx_497_20250401__20250630_zHSvJvcm6NU"/>
            <w:bookmarkEnd w:id="120"/>
          </w:p>
        </w:tc>
        <w:tc>
          <w:tcPr>
            <w:tcW w:w="144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2"/>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br/>
              <w:t>2025</w:t>
            </w:r>
          </w:p>
        </w:tc>
        <w:tc>
          <w:tcPr>
            <w:tcW w:w="106" w:type="dxa"/>
            <w:tcBorders/>
            <w:vAlign w:val="center"/>
          </w:tcPr>
          <w:p>
            <w:pPr>
              <w:pStyle w:val="TableContents"/>
              <w:bidi w:val="0"/>
              <w:spacing w:before="0" w:after="283"/>
              <w:ind w:left="0" w:right="0" w:hanging="180"/>
              <w:jc w:val="left"/>
              <w:rPr/>
            </w:pPr>
            <w:r>
              <w:rPr/>
              <w:t> </w:t>
            </w:r>
            <w:bookmarkStart w:id="121" w:name="xdx_405_eus-gaap--Revenues_maCziHs_zOQUO"/>
            <w:bookmarkEnd w:id="121"/>
          </w:p>
        </w:tc>
      </w:tr>
      <w:tr>
        <w:trPr/>
        <w:tc>
          <w:tcPr>
            <w:tcW w:w="6240" w:type="dxa"/>
            <w:tcBorders/>
            <w:shd w:fill="CCEEFF" w:val="clear"/>
            <w:vAlign w:val="center"/>
          </w:tcPr>
          <w:p>
            <w:pPr>
              <w:pStyle w:val="TableContents"/>
              <w:bidi w:val="0"/>
              <w:spacing w:before="0" w:after="283"/>
              <w:jc w:val="left"/>
              <w:rPr>
                <w:b/>
              </w:rPr>
            </w:pPr>
            <w:r>
              <w:rPr>
                <w:b/>
              </w:rPr>
              <w:t>Revenue, net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b/>
              </w:rPr>
            </w:pPr>
            <w:r>
              <w:rPr>
                <w:b/>
              </w:rPr>
              <w:t>$</w:t>
            </w:r>
          </w:p>
        </w:tc>
        <w:tc>
          <w:tcPr>
            <w:tcW w:w="1742" w:type="dxa"/>
            <w:tcBorders/>
            <w:shd w:fill="CCEEFF" w:val="clear"/>
            <w:vAlign w:val="center"/>
          </w:tcPr>
          <w:p>
            <w:pPr>
              <w:pStyle w:val="TableContents"/>
              <w:bidi w:val="0"/>
              <w:spacing w:before="0" w:after="283"/>
              <w:jc w:val="right"/>
              <w:rPr>
                <w:b/>
              </w:rPr>
            </w:pPr>
            <w:r>
              <w:rPr>
                <w:b/>
              </w:rPr>
              <w:t>21,918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b/>
              </w:rPr>
            </w:pPr>
            <w:r>
              <w:rPr>
                <w:b/>
              </w:rPr>
              <w:t>$</w:t>
            </w:r>
          </w:p>
        </w:tc>
        <w:tc>
          <w:tcPr>
            <w:tcW w:w="1448" w:type="dxa"/>
            <w:tcBorders/>
            <w:shd w:fill="CCEEFF" w:val="clear"/>
            <w:vAlign w:val="center"/>
          </w:tcPr>
          <w:p>
            <w:pPr>
              <w:pStyle w:val="TableContents"/>
              <w:bidi w:val="0"/>
              <w:spacing w:before="0" w:after="283"/>
              <w:jc w:val="right"/>
              <w:rPr>
                <w:b/>
              </w:rPr>
            </w:pPr>
            <w:r>
              <w:rPr>
                <w:b/>
              </w:rPr>
              <w:t>15,330</w:t>
            </w:r>
          </w:p>
        </w:tc>
        <w:tc>
          <w:tcPr>
            <w:tcW w:w="106" w:type="dxa"/>
            <w:tcBorders/>
            <w:shd w:fill="CCEEFF" w:val="clear"/>
            <w:vAlign w:val="center"/>
          </w:tcPr>
          <w:p>
            <w:pPr>
              <w:pStyle w:val="TableContents"/>
              <w:bidi w:val="0"/>
              <w:spacing w:before="0" w:after="283"/>
              <w:ind w:left="0" w:right="0" w:hanging="180"/>
              <w:jc w:val="left"/>
              <w:rPr/>
            </w:pPr>
            <w:r>
              <w:rPr/>
              <w:t> </w:t>
            </w:r>
            <w:bookmarkStart w:id="122" w:name="xdx_400_eus-gaap--CostOfRevenue_msCziHs_"/>
            <w:bookmarkEnd w:id="122"/>
          </w:p>
        </w:tc>
      </w:tr>
      <w:tr>
        <w:trPr/>
        <w:tc>
          <w:tcPr>
            <w:tcW w:w="624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FFFFFF" w:val="clear"/>
            <w:tcMar>
              <w:bottom w:w="28" w:type="dxa"/>
            </w:tcMar>
            <w:vAlign w:val="center"/>
          </w:tcPr>
          <w:p>
            <w:pPr>
              <w:pStyle w:val="TableContents"/>
              <w:bidi w:val="0"/>
              <w:spacing w:before="0" w:after="283"/>
              <w:jc w:val="right"/>
              <w:rPr/>
            </w:pPr>
            <w:r>
              <w:rPr/>
              <w:t>15,539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11,552</w:t>
            </w:r>
          </w:p>
        </w:tc>
        <w:tc>
          <w:tcPr>
            <w:tcW w:w="106" w:type="dxa"/>
            <w:tcBorders/>
            <w:shd w:fill="FFFFFF" w:val="clear"/>
            <w:vAlign w:val="center"/>
          </w:tcPr>
          <w:p>
            <w:pPr>
              <w:pStyle w:val="TableContents"/>
              <w:bidi w:val="0"/>
              <w:spacing w:before="0" w:after="283"/>
              <w:ind w:left="0" w:right="0" w:hanging="180"/>
              <w:jc w:val="left"/>
              <w:rPr/>
            </w:pPr>
            <w:r>
              <w:rPr/>
              <w:t> </w:t>
            </w:r>
            <w:bookmarkStart w:id="123" w:name="xdx_402_eus-gaap--GrossProfit_iT_mtCziHs"/>
            <w:bookmarkEnd w:id="123"/>
          </w:p>
        </w:tc>
      </w:tr>
      <w:tr>
        <w:trPr/>
        <w:tc>
          <w:tcPr>
            <w:tcW w:w="624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b/>
              </w:rPr>
            </w:pPr>
            <w:r>
              <w:rPr>
                <w:b/>
              </w:rPr>
              <w:t>6,379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b/>
              </w:rPr>
            </w:pPr>
            <w:r>
              <w:rPr>
                <w:b/>
              </w:rPr>
              <w:t>3,778</w:t>
            </w:r>
          </w:p>
        </w:tc>
        <w:tc>
          <w:tcPr>
            <w:tcW w:w="106" w:type="dxa"/>
            <w:tcBorders/>
            <w:shd w:fill="CCEEFF" w:val="clear"/>
            <w:vAlign w:val="center"/>
          </w:tcPr>
          <w:p>
            <w:pPr>
              <w:pStyle w:val="TableContents"/>
              <w:bidi w:val="0"/>
              <w:spacing w:before="0" w:after="283"/>
              <w:ind w:left="0" w:right="0" w:hanging="180"/>
              <w:jc w:val="left"/>
              <w:rPr/>
            </w:pPr>
            <w:r>
              <w:rPr/>
              <w:t> </w:t>
            </w:r>
            <w:bookmarkStart w:id="124" w:name="xdx_403_eus-gaap--OperatingExpensesAbstr"/>
            <w:bookmarkEnd w:id="124"/>
          </w:p>
        </w:tc>
      </w:tr>
      <w:tr>
        <w:trPr/>
        <w:tc>
          <w:tcPr>
            <w:tcW w:w="624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bookmarkStart w:id="125" w:name="xdx_408_eus-gaap--SellingGeneralAndAdmin"/>
            <w:bookmarkEnd w:id="125"/>
          </w:p>
        </w:tc>
      </w:tr>
      <w:tr>
        <w:trPr/>
        <w:tc>
          <w:tcPr>
            <w:tcW w:w="6240" w:type="dxa"/>
            <w:tcBorders/>
            <w:shd w:fill="CCEEFF" w:val="clear"/>
            <w:vAlign w:val="center"/>
          </w:tcPr>
          <w:p>
            <w:pPr>
              <w:pStyle w:val="TableContents"/>
              <w:bidi w:val="0"/>
              <w:spacing w:before="0" w:after="283"/>
              <w:jc w:val="left"/>
              <w:rPr/>
            </w:pPr>
            <w:r>
              <w:rPr/>
              <w:t>Selling, general &amp; administrative expenses</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pPr>
            <w:r>
              <w:rPr/>
              <w:t>2,958</w:t>
            </w:r>
          </w:p>
        </w:tc>
        <w:tc>
          <w:tcPr>
            <w:tcW w:w="106" w:type="dxa"/>
            <w:tcBorders/>
            <w:shd w:fill="CCEEFF" w:val="clear"/>
            <w:vAlign w:val="center"/>
          </w:tcPr>
          <w:p>
            <w:pPr>
              <w:pStyle w:val="TableContents"/>
              <w:bidi w:val="0"/>
              <w:spacing w:before="0" w:after="283"/>
              <w:ind w:left="0" w:right="0" w:hanging="180"/>
              <w:jc w:val="left"/>
              <w:rPr/>
            </w:pPr>
            <w:r>
              <w:rPr/>
              <w:t> </w:t>
            </w:r>
            <w:bookmarkStart w:id="126" w:name="xdx_40B_eus-gaap--OperatingExpenses_iT_m"/>
            <w:bookmarkEnd w:id="126"/>
          </w:p>
        </w:tc>
      </w:tr>
      <w:tr>
        <w:trPr/>
        <w:tc>
          <w:tcPr>
            <w:tcW w:w="624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2,958</w:t>
            </w:r>
          </w:p>
        </w:tc>
        <w:tc>
          <w:tcPr>
            <w:tcW w:w="106" w:type="dxa"/>
            <w:tcBorders/>
            <w:shd w:fill="FFFFFF" w:val="clear"/>
            <w:vAlign w:val="center"/>
          </w:tcPr>
          <w:p>
            <w:pPr>
              <w:pStyle w:val="TableContents"/>
              <w:bidi w:val="0"/>
              <w:spacing w:before="0" w:after="283"/>
              <w:ind w:left="0" w:right="0" w:hanging="180"/>
              <w:jc w:val="left"/>
              <w:rPr/>
            </w:pPr>
            <w:r>
              <w:rPr/>
              <w:t> </w:t>
            </w:r>
            <w:bookmarkStart w:id="127" w:name="xdx_400_eus-gaap--OperatingIncomeLoss_iT"/>
            <w:bookmarkEnd w:id="127"/>
          </w:p>
        </w:tc>
      </w:tr>
      <w:tr>
        <w:trPr/>
        <w:tc>
          <w:tcPr>
            <w:tcW w:w="6240" w:type="dxa"/>
            <w:tcBorders/>
            <w:shd w:fill="CCEEFF" w:val="clear"/>
            <w:vAlign w:val="center"/>
          </w:tcPr>
          <w:p>
            <w:pPr>
              <w:pStyle w:val="TableContents"/>
              <w:bidi w:val="0"/>
              <w:spacing w:before="0" w:after="283"/>
              <w:jc w:val="left"/>
              <w:rPr>
                <w:b/>
              </w:rPr>
            </w:pPr>
            <w:r>
              <w:rPr>
                <w:b/>
              </w:rPr>
              <w:t>Income / (loss) from operations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b/>
              </w:rPr>
            </w:pPr>
            <w:r>
              <w:rPr>
                <w:b/>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b/>
              </w:rPr>
            </w:pPr>
            <w:r>
              <w:rPr>
                <w:b/>
              </w:rPr>
              <w:t>820</w:t>
            </w:r>
          </w:p>
        </w:tc>
        <w:tc>
          <w:tcPr>
            <w:tcW w:w="106" w:type="dxa"/>
            <w:tcBorders/>
            <w:shd w:fill="CCEEFF" w:val="clear"/>
            <w:vAlign w:val="center"/>
          </w:tcPr>
          <w:p>
            <w:pPr>
              <w:pStyle w:val="TableContents"/>
              <w:bidi w:val="0"/>
              <w:spacing w:before="0" w:after="283"/>
              <w:ind w:left="0" w:right="0" w:hanging="180"/>
              <w:jc w:val="left"/>
              <w:rPr/>
            </w:pPr>
            <w:r>
              <w:rPr/>
              <w:t> </w:t>
            </w:r>
            <w:bookmarkStart w:id="128" w:name="xdx_407_eus-gaap--OtherNonoperatingIncom"/>
            <w:bookmarkEnd w:id="128"/>
          </w:p>
        </w:tc>
      </w:tr>
      <w:tr>
        <w:trPr/>
        <w:tc>
          <w:tcPr>
            <w:tcW w:w="6240" w:type="dxa"/>
            <w:tcBorders/>
            <w:shd w:fill="FFFFFF" w:val="clear"/>
            <w:vAlign w:val="center"/>
          </w:tcPr>
          <w:p>
            <w:pPr>
              <w:pStyle w:val="TableContents"/>
              <w:bidi w:val="0"/>
              <w:spacing w:before="0" w:after="283"/>
              <w:jc w:val="left"/>
              <w:rPr>
                <w:b/>
              </w:rPr>
            </w:pPr>
            <w:r>
              <w:rPr>
                <w:b/>
              </w:rPr>
              <w:t>Other income / (expense)</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bookmarkStart w:id="129" w:name="xdx_40A_ecustom--ChangeInFairValueOfForw"/>
            <w:bookmarkEnd w:id="129"/>
          </w:p>
        </w:tc>
      </w:tr>
      <w:tr>
        <w:trPr/>
        <w:tc>
          <w:tcPr>
            <w:tcW w:w="6240" w:type="dxa"/>
            <w:tcBorders/>
            <w:shd w:fill="CCEEFF" w:val="clear"/>
            <w:vAlign w:val="center"/>
          </w:tcPr>
          <w:p>
            <w:pPr>
              <w:pStyle w:val="TableContents"/>
              <w:bidi w:val="0"/>
              <w:spacing w:before="0" w:after="283"/>
              <w:jc w:val="left"/>
              <w:rPr/>
            </w:pPr>
            <w:r>
              <w:rPr/>
              <w:t>Change in fair value of forward purchase agreement put option liability</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1,255</w:t>
            </w:r>
          </w:p>
        </w:tc>
        <w:tc>
          <w:tcPr>
            <w:tcW w:w="106" w:type="dxa"/>
            <w:tcBorders/>
            <w:shd w:fill="CCEEFF" w:val="clear"/>
            <w:vAlign w:val="center"/>
          </w:tcPr>
          <w:p>
            <w:pPr>
              <w:pStyle w:val="TableContents"/>
              <w:bidi w:val="0"/>
              <w:spacing w:before="0" w:after="283"/>
              <w:ind w:left="0" w:right="0" w:hanging="180"/>
              <w:jc w:val="left"/>
              <w:rPr/>
            </w:pPr>
            <w:r>
              <w:rPr/>
              <w:t> </w:t>
            </w:r>
            <w:bookmarkStart w:id="130" w:name="xdx_407_ecustom--ChangeInFairValueOfDeri"/>
            <w:bookmarkEnd w:id="130"/>
          </w:p>
        </w:tc>
      </w:tr>
      <w:tr>
        <w:trPr/>
        <w:tc>
          <w:tcPr>
            <w:tcW w:w="6240" w:type="dxa"/>
            <w:tcBorders/>
            <w:shd w:fill="FFFFFF" w:val="clear"/>
            <w:vAlign w:val="center"/>
          </w:tcPr>
          <w:p>
            <w:pPr>
              <w:pStyle w:val="TableContents"/>
              <w:bidi w:val="0"/>
              <w:spacing w:before="0" w:after="283"/>
              <w:jc w:val="left"/>
              <w:rPr/>
            </w:pPr>
            <w:r>
              <w:rPr/>
              <w:t>Change in fair value of derivative warrant liabilities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23</w:t>
            </w:r>
          </w:p>
        </w:tc>
        <w:tc>
          <w:tcPr>
            <w:tcW w:w="106" w:type="dxa"/>
            <w:tcBorders/>
            <w:shd w:fill="FFFFFF" w:val="clear"/>
            <w:vAlign w:val="center"/>
          </w:tcPr>
          <w:p>
            <w:pPr>
              <w:pStyle w:val="TableContents"/>
              <w:bidi w:val="0"/>
              <w:spacing w:before="0" w:after="283"/>
              <w:ind w:left="0" w:right="0" w:hanging="180"/>
              <w:jc w:val="left"/>
              <w:rPr/>
            </w:pPr>
            <w:r>
              <w:rPr/>
              <w:t> </w:t>
            </w:r>
            <w:bookmarkStart w:id="131" w:name="xdx_402_eus-gaap--InterestIncomeExpenseN"/>
            <w:bookmarkEnd w:id="131"/>
          </w:p>
        </w:tc>
      </w:tr>
      <w:tr>
        <w:trPr/>
        <w:tc>
          <w:tcPr>
            <w:tcW w:w="624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72</w:t>
            </w:r>
          </w:p>
        </w:tc>
        <w:tc>
          <w:tcPr>
            <w:tcW w:w="106" w:type="dxa"/>
            <w:tcBorders/>
            <w:shd w:fill="CCEEFF" w:val="clear"/>
            <w:vAlign w:val="center"/>
          </w:tcPr>
          <w:p>
            <w:pPr>
              <w:pStyle w:val="TableContents"/>
              <w:bidi w:val="0"/>
              <w:spacing w:before="0" w:after="283"/>
              <w:ind w:left="0" w:right="0" w:hanging="180"/>
              <w:jc w:val="left"/>
              <w:rPr/>
            </w:pPr>
            <w:r>
              <w:rPr/>
              <w:t> </w:t>
            </w:r>
            <w:bookmarkStart w:id="132" w:name="xdx_40D_eus-gaap--InterestExpense_i01N_d"/>
            <w:bookmarkEnd w:id="132"/>
          </w:p>
        </w:tc>
      </w:tr>
      <w:tr>
        <w:trPr/>
        <w:tc>
          <w:tcPr>
            <w:tcW w:w="624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(170</w:t>
            </w:r>
          </w:p>
        </w:tc>
        <w:tc>
          <w:tcPr>
            <w:tcW w:w="106" w:type="dxa"/>
            <w:tcBorders/>
            <w:shd w:fill="FFFFFF" w:val="clear"/>
            <w:vAlign w:val="center"/>
          </w:tcPr>
          <w:p>
            <w:pPr>
              <w:pStyle w:val="TableContents"/>
              <w:bidi w:val="0"/>
              <w:spacing w:before="0" w:after="283"/>
              <w:ind w:left="0" w:right="0" w:hanging="180"/>
              <w:jc w:val="left"/>
              <w:rPr/>
            </w:pPr>
            <w:r>
              <w:rPr/>
              <w:t>)</w:t>
            </w:r>
            <w:bookmarkStart w:id="133" w:name="xdx_40E_eus-gaap--OtherNoncashIncomeExpe"/>
            <w:bookmarkEnd w:id="133"/>
          </w:p>
        </w:tc>
      </w:tr>
      <w:tr>
        <w:trPr/>
        <w:tc>
          <w:tcPr>
            <w:tcW w:w="6240" w:type="dxa"/>
            <w:tcBorders/>
            <w:shd w:fill="CCEEFF" w:val="clear"/>
            <w:vAlign w:val="center"/>
          </w:tcPr>
          <w:p>
            <w:pPr>
              <w:pStyle w:val="TableContents"/>
              <w:bidi w:val="0"/>
              <w:spacing w:before="0" w:after="283"/>
              <w:jc w:val="left"/>
              <w:rPr/>
            </w:pPr>
            <w:r>
              <w:rPr/>
              <w:t>Other income / (expense), net</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pPr>
            <w:r>
              <w:rPr/>
              <w:t>(223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06" w:type="dxa"/>
            <w:tcBorders/>
            <w:shd w:fill="CCEEFF" w:val="clear"/>
            <w:vAlign w:val="center"/>
          </w:tcPr>
          <w:p>
            <w:pPr>
              <w:pStyle w:val="TableContents"/>
              <w:bidi w:val="0"/>
              <w:spacing w:before="0" w:after="283"/>
              <w:ind w:left="0" w:right="0" w:hanging="180"/>
              <w:jc w:val="left"/>
              <w:rPr/>
            </w:pPr>
            <w:r>
              <w:rPr/>
              <w:t> </w:t>
            </w:r>
            <w:bookmarkStart w:id="134" w:name="xdx_402_eus-gaap--OtherNonoperatingIncom"/>
            <w:bookmarkEnd w:id="134"/>
          </w:p>
        </w:tc>
      </w:tr>
      <w:tr>
        <w:trPr/>
        <w:tc>
          <w:tcPr>
            <w:tcW w:w="6240" w:type="dxa"/>
            <w:tcBorders/>
            <w:shd w:fill="FFFFFF" w:val="clear"/>
            <w:vAlign w:val="center"/>
          </w:tcPr>
          <w:p>
            <w:pPr>
              <w:pStyle w:val="TableContents"/>
              <w:bidi w:val="0"/>
              <w:spacing w:before="0" w:after="283"/>
              <w:jc w:val="left"/>
              <w:rPr>
                <w:b/>
              </w:rPr>
            </w:pPr>
            <w:r>
              <w:rPr>
                <w:b/>
              </w:rPr>
              <w:t>Total other income / (expense), net</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1,187</w:t>
            </w:r>
          </w:p>
        </w:tc>
        <w:tc>
          <w:tcPr>
            <w:tcW w:w="106" w:type="dxa"/>
            <w:tcBorders/>
            <w:shd w:fill="FFFFFF" w:val="clear"/>
            <w:vAlign w:val="center"/>
          </w:tcPr>
          <w:p>
            <w:pPr>
              <w:pStyle w:val="TableContents"/>
              <w:bidi w:val="0"/>
              <w:spacing w:before="0" w:after="283"/>
              <w:ind w:left="0" w:right="0" w:hanging="180"/>
              <w:jc w:val="left"/>
              <w:rPr/>
            </w:pPr>
            <w:r>
              <w:rPr/>
              <w:t> </w:t>
            </w:r>
            <w:bookmarkStart w:id="135" w:name="xdx_407_eus-gaap--IncomeLossFromContinui"/>
            <w:bookmarkEnd w:id="135"/>
          </w:p>
        </w:tc>
      </w:tr>
      <w:tr>
        <w:trPr/>
        <w:tc>
          <w:tcPr>
            <w:tcW w:w="6240" w:type="dxa"/>
            <w:tcBorders/>
            <w:shd w:fill="CCEEFF" w:val="clear"/>
            <w:vAlign w:val="center"/>
          </w:tcPr>
          <w:p>
            <w:pPr>
              <w:pStyle w:val="TableContents"/>
              <w:bidi w:val="0"/>
              <w:spacing w:before="0" w:after="283"/>
              <w:jc w:val="left"/>
              <w:rPr>
                <w:b/>
              </w:rPr>
            </w:pPr>
            <w:r>
              <w:rPr>
                <w:b/>
              </w:rPr>
              <w:t>Income / (loss) before income taxes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b/>
              </w:rPr>
            </w:pPr>
            <w:r>
              <w:rPr>
                <w:b/>
              </w:rPr>
              <w:t>3,092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b/>
              </w:rPr>
            </w:pPr>
            <w:r>
              <w:rPr>
                <w:b/>
              </w:rPr>
              <w:t>2,007</w:t>
            </w:r>
          </w:p>
        </w:tc>
        <w:tc>
          <w:tcPr>
            <w:tcW w:w="106" w:type="dxa"/>
            <w:tcBorders/>
            <w:shd w:fill="CCEEFF" w:val="clear"/>
            <w:vAlign w:val="center"/>
          </w:tcPr>
          <w:p>
            <w:pPr>
              <w:pStyle w:val="TableContents"/>
              <w:bidi w:val="0"/>
              <w:spacing w:before="0" w:after="283"/>
              <w:ind w:left="0" w:right="0" w:hanging="180"/>
              <w:jc w:val="left"/>
              <w:rPr/>
            </w:pPr>
            <w:r>
              <w:rPr/>
              <w:t> </w:t>
            </w:r>
            <w:bookmarkStart w:id="136" w:name="xdx_409_eus-gaap--IncomeTaxExpenseBenefi"/>
            <w:bookmarkEnd w:id="136"/>
          </w:p>
        </w:tc>
      </w:tr>
      <w:tr>
        <w:trPr/>
        <w:tc>
          <w:tcPr>
            <w:tcW w:w="6240" w:type="dxa"/>
            <w:tcBorders/>
            <w:shd w:fill="FFFFFF" w:val="clear"/>
            <w:vAlign w:val="center"/>
          </w:tcPr>
          <w:p>
            <w:pPr>
              <w:pStyle w:val="TableContents"/>
              <w:bidi w:val="0"/>
              <w:spacing w:before="0" w:after="283"/>
              <w:jc w:val="left"/>
              <w:rPr/>
            </w:pPr>
            <w:r>
              <w:rPr/>
              <w:t>Income tax (expense) / benefit</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FFFFFF" w:val="clear"/>
            <w:tcMar>
              <w:bottom w:w="28" w:type="dxa"/>
            </w:tcMar>
            <w:vAlign w:val="center"/>
          </w:tcPr>
          <w:p>
            <w:pPr>
              <w:pStyle w:val="TableContents"/>
              <w:bidi w:val="0"/>
              <w:spacing w:before="0" w:after="283"/>
              <w:jc w:val="right"/>
              <w:rPr/>
            </w:pPr>
            <w:r>
              <w:rPr/>
              <w:t>(878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(331</w:t>
            </w:r>
          </w:p>
        </w:tc>
        <w:tc>
          <w:tcPr>
            <w:tcW w:w="106" w:type="dxa"/>
            <w:tcBorders/>
            <w:shd w:fill="FFFFFF" w:val="clear"/>
            <w:vAlign w:val="center"/>
          </w:tcPr>
          <w:p>
            <w:pPr>
              <w:pStyle w:val="TableContents"/>
              <w:bidi w:val="0"/>
              <w:spacing w:before="0" w:after="283"/>
              <w:ind w:left="0" w:right="0" w:hanging="180"/>
              <w:jc w:val="left"/>
              <w:rPr/>
            </w:pPr>
            <w:r>
              <w:rPr/>
              <w:t>)</w:t>
            </w:r>
            <w:bookmarkStart w:id="137" w:name="xdx_402_eus-gaap--ProfitLoss_iT_mtCzsAx_"/>
            <w:bookmarkEnd w:id="137"/>
          </w:p>
        </w:tc>
      </w:tr>
      <w:tr>
        <w:trPr/>
        <w:tc>
          <w:tcPr>
            <w:tcW w:w="6240" w:type="dxa"/>
            <w:tcBorders/>
            <w:shd w:fill="CCEEFF" w:val="clear"/>
            <w:vAlign w:val="center"/>
          </w:tcPr>
          <w:p>
            <w:pPr>
              <w:pStyle w:val="TableContents"/>
              <w:bidi w:val="0"/>
              <w:spacing w:before="0" w:after="283"/>
              <w:jc w:val="left"/>
              <w:rPr>
                <w:b/>
              </w:rPr>
            </w:pPr>
            <w:r>
              <w:rPr>
                <w:b/>
              </w:rPr>
              <w:t>Net income / (loss)</w:t>
            </w:r>
          </w:p>
        </w:tc>
        <w:tc>
          <w:tcPr>
            <w:tcW w:w="6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7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1,676</w:t>
            </w:r>
          </w:p>
        </w:tc>
        <w:tc>
          <w:tcPr>
            <w:tcW w:w="106" w:type="dxa"/>
            <w:tcBorders/>
            <w:shd w:fill="CCEEFF" w:val="clear"/>
            <w:vAlign w:val="center"/>
          </w:tcPr>
          <w:p>
            <w:pPr>
              <w:pStyle w:val="TableContents"/>
              <w:bidi w:val="0"/>
              <w:spacing w:before="0" w:after="283"/>
              <w:ind w:left="0" w:right="0" w:hanging="180"/>
              <w:jc w:val="left"/>
              <w:rPr/>
            </w:pPr>
            <w:r>
              <w:rPr/>
              <w:t> </w:t>
            </w:r>
            <w:bookmarkStart w:id="138" w:name="xdx_406_eus-gaap--IncomeLossAttributable"/>
            <w:bookmarkEnd w:id="138"/>
          </w:p>
        </w:tc>
      </w:tr>
      <w:tr>
        <w:trPr/>
        <w:tc>
          <w:tcPr>
            <w:tcW w:w="6240" w:type="dxa"/>
            <w:tcBorders/>
            <w:shd w:fill="FFFFFF" w:val="clear"/>
            <w:vAlign w:val="center"/>
          </w:tcPr>
          <w:p>
            <w:pPr>
              <w:pStyle w:val="TableContents"/>
              <w:bidi w:val="0"/>
              <w:spacing w:before="0" w:after="283"/>
              <w:jc w:val="left"/>
              <w:rPr/>
            </w:pPr>
            <w:r>
              <w:rPr/>
              <w:t>Less: Net income /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62</w:t>
            </w:r>
          </w:p>
        </w:tc>
        <w:tc>
          <w:tcPr>
            <w:tcW w:w="106" w:type="dxa"/>
            <w:tcBorders/>
            <w:shd w:fill="FFFFFF" w:val="clear"/>
            <w:vAlign w:val="center"/>
          </w:tcPr>
          <w:p>
            <w:pPr>
              <w:pStyle w:val="TableContents"/>
              <w:bidi w:val="0"/>
              <w:spacing w:before="0" w:after="283"/>
              <w:ind w:left="0" w:right="0" w:hanging="180"/>
              <w:jc w:val="left"/>
              <w:rPr/>
            </w:pPr>
            <w:r>
              <w:rPr/>
              <w:t> </w:t>
            </w:r>
            <w:bookmarkStart w:id="139" w:name="xdx_403_ecustom--LessNetIncomeAttributab"/>
            <w:bookmarkEnd w:id="139"/>
          </w:p>
        </w:tc>
      </w:tr>
      <w:tr>
        <w:trPr/>
        <w:tc>
          <w:tcPr>
            <w:tcW w:w="6240" w:type="dxa"/>
            <w:tcBorders/>
            <w:shd w:fill="CCEEFF" w:val="clear"/>
            <w:vAlign w:val="center"/>
          </w:tcPr>
          <w:p>
            <w:pPr>
              <w:pStyle w:val="TableContents"/>
              <w:bidi w:val="0"/>
              <w:spacing w:before="0" w:after="283"/>
              <w:jc w:val="left"/>
              <w:rPr/>
            </w:pPr>
            <w:r>
              <w:rPr/>
              <w:t>Net income / (loss) attributable to redeemable noncontrolling interests</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pPr>
            <w:r>
              <w:rPr/>
              <w:t>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106" w:type="dxa"/>
            <w:tcBorders/>
            <w:shd w:fill="CCEEFF" w:val="clear"/>
            <w:vAlign w:val="center"/>
          </w:tcPr>
          <w:p>
            <w:pPr>
              <w:pStyle w:val="TableContents"/>
              <w:bidi w:val="0"/>
              <w:spacing w:before="0" w:after="283"/>
              <w:ind w:left="0" w:right="0" w:hanging="180"/>
              <w:jc w:val="left"/>
              <w:rPr/>
            </w:pPr>
            <w:r>
              <w:rPr/>
              <w:t> </w:t>
            </w:r>
            <w:bookmarkStart w:id="140" w:name="xdx_40F_eus-gaap--NetIncomeLossAvailable"/>
            <w:bookmarkEnd w:id="140"/>
          </w:p>
        </w:tc>
      </w:tr>
      <w:tr>
        <w:trPr/>
        <w:tc>
          <w:tcPr>
            <w:tcW w:w="6240" w:type="dxa"/>
            <w:tcBorders/>
            <w:shd w:fill="FFFFFF" w:val="clear"/>
            <w:vAlign w:val="center"/>
          </w:tcPr>
          <w:p>
            <w:pPr>
              <w:pStyle w:val="TableContents"/>
              <w:bidi w:val="0"/>
              <w:spacing w:before="0" w:after="283"/>
              <w:jc w:val="left"/>
              <w:rPr>
                <w:b/>
              </w:rPr>
            </w:pPr>
            <w:r>
              <w:rPr>
                <w:b/>
              </w:rPr>
              <w:t>Net income / (loss) attributable to shareholders of Aeries Technology Inc.</w:t>
            </w:r>
          </w:p>
        </w:tc>
        <w:tc>
          <w:tcPr>
            <w:tcW w:w="60"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4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1,512</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bookmarkStart w:id="141" w:name="xdx_40D_eus-gaap--WeightedAverageNumberO"/>
            <w:bookmarkEnd w:id="141"/>
          </w:p>
        </w:tc>
      </w:tr>
      <w:tr>
        <w:trPr/>
        <w:tc>
          <w:tcPr>
            <w:tcW w:w="6240" w:type="dxa"/>
            <w:tcBorders/>
            <w:shd w:fill="FFFFFF" w:val="clear"/>
            <w:vAlign w:val="center"/>
          </w:tcPr>
          <w:p>
            <w:pPr>
              <w:pStyle w:val="TableContents"/>
              <w:bidi w:val="0"/>
              <w:spacing w:before="0" w:after="283"/>
              <w:jc w:val="left"/>
              <w:rPr/>
            </w:pPr>
            <w:r>
              <w:rPr/>
              <w:t>Weighted average shares outstanding of Class A ordinary shares: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bookmarkStart w:id="142" w:name="xdx_404_eus-gaap--WeightedAverageNumberO"/>
            <w:bookmarkEnd w:id="142"/>
          </w:p>
        </w:tc>
      </w:tr>
      <w:tr>
        <w:trPr/>
        <w:tc>
          <w:tcPr>
            <w:tcW w:w="624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5,788,210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5,894,078</w:t>
            </w:r>
          </w:p>
        </w:tc>
        <w:tc>
          <w:tcPr>
            <w:tcW w:w="106" w:type="dxa"/>
            <w:tcBorders/>
            <w:shd w:fill="CCEEFF" w:val="clear"/>
            <w:vAlign w:val="center"/>
          </w:tcPr>
          <w:p>
            <w:pPr>
              <w:pStyle w:val="TableContents"/>
              <w:bidi w:val="0"/>
              <w:spacing w:before="0" w:after="283"/>
              <w:ind w:left="0" w:right="0" w:hanging="180"/>
              <w:jc w:val="left"/>
              <w:rPr/>
            </w:pPr>
            <w:r>
              <w:rPr/>
              <w:t> </w:t>
            </w:r>
            <w:bookmarkStart w:id="143" w:name="xdx_404_eus-gaap--WeightedAverageNumberO"/>
            <w:bookmarkEnd w:id="143"/>
          </w:p>
        </w:tc>
      </w:tr>
      <w:tr>
        <w:trPr/>
        <w:tc>
          <w:tcPr>
            <w:tcW w:w="624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6,576,986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5,894,078</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bookmarkStart w:id="144" w:name="xdx_40F_eus-gaap--EarningsPerShareAbstra"/>
            <w:bookmarkEnd w:id="144"/>
          </w:p>
        </w:tc>
      </w:tr>
      <w:tr>
        <w:trPr/>
        <w:tc>
          <w:tcPr>
            <w:tcW w:w="6240" w:type="dxa"/>
            <w:tcBorders/>
            <w:shd w:fill="FFFFFF" w:val="clear"/>
            <w:vAlign w:val="center"/>
          </w:tcPr>
          <w:p>
            <w:pPr>
              <w:pStyle w:val="TableContents"/>
              <w:bidi w:val="0"/>
              <w:spacing w:before="0" w:after="283"/>
              <w:jc w:val="left"/>
              <w:rPr/>
            </w:pPr>
            <w:r>
              <w:rPr/>
              <w:t>Earning per share:</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bookmarkStart w:id="145" w:name="xdx_40C_eus-gaap--EarningsPerShareBasic_"/>
            <w:bookmarkEnd w:id="145"/>
          </w:p>
        </w:tc>
      </w:tr>
      <w:tr>
        <w:trPr/>
        <w:tc>
          <w:tcPr>
            <w:tcW w:w="624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742" w:type="dxa"/>
            <w:tcBorders/>
            <w:shd w:fill="CCEEFF" w:val="clear"/>
            <w:vAlign w:val="center"/>
          </w:tcPr>
          <w:p>
            <w:pPr>
              <w:pStyle w:val="TableContents"/>
              <w:bidi w:val="0"/>
              <w:spacing w:before="0" w:after="283"/>
              <w:jc w:val="right"/>
              <w:rPr/>
            </w:pPr>
            <w:r>
              <w:rPr/>
              <w:t>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0.26</w:t>
            </w:r>
          </w:p>
        </w:tc>
        <w:tc>
          <w:tcPr>
            <w:tcW w:w="106" w:type="dxa"/>
            <w:tcBorders/>
            <w:shd w:fill="CCEEFF" w:val="clear"/>
            <w:vAlign w:val="center"/>
          </w:tcPr>
          <w:p>
            <w:pPr>
              <w:pStyle w:val="TableContents"/>
              <w:bidi w:val="0"/>
              <w:spacing w:before="0" w:after="283"/>
              <w:ind w:left="0" w:right="0" w:hanging="180"/>
              <w:jc w:val="left"/>
              <w:rPr/>
            </w:pPr>
            <w:r>
              <w:rPr/>
              <w:t> </w:t>
            </w:r>
            <w:bookmarkStart w:id="146" w:name="xdx_408_eus-gaap--EarningsPerShareDilute"/>
            <w:bookmarkEnd w:id="146"/>
          </w:p>
        </w:tc>
      </w:tr>
      <w:tr>
        <w:trPr/>
        <w:tc>
          <w:tcPr>
            <w:tcW w:w="624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w:t>
            </w:r>
          </w:p>
        </w:tc>
        <w:tc>
          <w:tcPr>
            <w:tcW w:w="1742" w:type="dxa"/>
            <w:tcBorders/>
            <w:shd w:fill="FFFFFF" w:val="clear"/>
            <w:vAlign w:val="center"/>
          </w:tcPr>
          <w:p>
            <w:pPr>
              <w:pStyle w:val="TableContents"/>
              <w:bidi w:val="0"/>
              <w:spacing w:before="0" w:after="283"/>
              <w:jc w:val="right"/>
              <w:rPr/>
            </w:pPr>
            <w:r>
              <w:rPr/>
              <w:t>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448" w:type="dxa"/>
            <w:tcBorders/>
            <w:shd w:fill="FFFFFF" w:val="clear"/>
            <w:vAlign w:val="center"/>
          </w:tcPr>
          <w:p>
            <w:pPr>
              <w:pStyle w:val="TableContents"/>
              <w:bidi w:val="0"/>
              <w:spacing w:before="0" w:after="283"/>
              <w:jc w:val="right"/>
              <w:rPr/>
            </w:pPr>
            <w:r>
              <w:rPr/>
              <w:t>0.26</w:t>
            </w:r>
          </w:p>
        </w:tc>
        <w:tc>
          <w:tcPr>
            <w:tcW w:w="106"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br/>
        <w:t>The Company’s Class A ordinary shares outstanding as of March 31, 2026 has been retroactively restated for the Company’s June 2026 share consolidation.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7" w:name="a_005"/>
      <w:bookmarkEnd w:id="147"/>
      <w:r>
        <w:rPr>
          <w:rFonts w:ascii="Times New Roman;Times;Serif" w:hAnsi="Times New Roman;Times;Serif"/>
          <w:b/>
          <w:i w:val="false"/>
          <w:caps w:val="false"/>
          <w:smallCaps w:val="false"/>
          <w:sz w:val="20"/>
        </w:rPr>
        <w:t>AERIES TECHNOLOGY,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INCOME / (LOSS)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2026 and 2025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United States dollars, except share and per share amounts)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8" w:name="xdx_300_113_pn3n3_zYqKxIPJrFJj"/>
      <w:bookmarkStart w:id="149" w:name="xdx_300_113_pn3n3_zYqKxIPJrFJj"/>
      <w:bookmarkEnd w:id="149"/>
    </w:p>
    <w:tbl>
      <w:tblPr>
        <w:tblW w:w="10205" w:type="dxa"/>
        <w:jc w:val="left"/>
        <w:tblInd w:w="0" w:type="dxa"/>
        <w:tblLayout w:type="fixed"/>
        <w:tblCellMar>
          <w:top w:w="0" w:type="dxa"/>
          <w:left w:w="0" w:type="dxa"/>
          <w:bottom w:w="0" w:type="dxa"/>
          <w:right w:w="0" w:type="dxa"/>
        </w:tblCellMar>
      </w:tblPr>
      <w:tblGrid>
        <w:gridCol w:w="6446"/>
        <w:gridCol w:w="60"/>
        <w:gridCol w:w="344"/>
        <w:gridCol w:w="1378"/>
        <w:gridCol w:w="95"/>
        <w:gridCol w:w="60"/>
        <w:gridCol w:w="344"/>
        <w:gridCol w:w="1378"/>
        <w:gridCol w:w="100"/>
      </w:tblGrid>
      <w:tr>
        <w:trPr/>
        <w:tc>
          <w:tcPr>
            <w:tcW w:w="6446"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bookmarkStart w:id="150" w:name="xdx_494_20260401__20260630_zfu6wWTGopnd"/>
            <w:bookmarkEnd w:id="150"/>
          </w:p>
        </w:tc>
        <w:tc>
          <w:tcPr>
            <w:tcW w:w="13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bookmarkStart w:id="151" w:name="xdx_495_20250401__20250630_zuloyZY7L6Gg"/>
            <w:bookmarkEnd w:id="151"/>
          </w:p>
        </w:tc>
        <w:tc>
          <w:tcPr>
            <w:tcW w:w="137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64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br/>
              <w:t>2025</w:t>
            </w:r>
          </w:p>
        </w:tc>
        <w:tc>
          <w:tcPr>
            <w:tcW w:w="100" w:type="dxa"/>
            <w:tcBorders/>
            <w:vAlign w:val="center"/>
          </w:tcPr>
          <w:p>
            <w:pPr>
              <w:pStyle w:val="TableContents"/>
              <w:bidi w:val="0"/>
              <w:spacing w:before="0" w:after="283"/>
              <w:ind w:left="0" w:right="0" w:hanging="180"/>
              <w:jc w:val="left"/>
              <w:rPr/>
            </w:pPr>
            <w:r>
              <w:rPr/>
              <w:t> </w:t>
            </w:r>
            <w:bookmarkStart w:id="152" w:name="xdx_40E_eus-gaap--ProfitLoss_maCzSBR_zcR"/>
            <w:bookmarkEnd w:id="152"/>
          </w:p>
        </w:tc>
      </w:tr>
      <w:tr>
        <w:trPr/>
        <w:tc>
          <w:tcPr>
            <w:tcW w:w="6446" w:type="dxa"/>
            <w:tcBorders/>
            <w:shd w:fill="CCEEFF" w:val="clear"/>
            <w:vAlign w:val="center"/>
          </w:tcPr>
          <w:p>
            <w:pPr>
              <w:pStyle w:val="TableContents"/>
              <w:bidi w:val="0"/>
              <w:spacing w:before="0" w:after="283"/>
              <w:jc w:val="left"/>
              <w:rPr>
                <w:b/>
              </w:rPr>
            </w:pPr>
            <w:r>
              <w:rPr>
                <w:b/>
              </w:rPr>
              <w:t>Net income / (loss)</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b/>
              </w:rPr>
            </w:pPr>
            <w:r>
              <w:rPr>
                <w:b/>
              </w:rPr>
              <w:t>$</w:t>
            </w:r>
          </w:p>
        </w:tc>
        <w:tc>
          <w:tcPr>
            <w:tcW w:w="1378" w:type="dxa"/>
            <w:tcBorders/>
            <w:shd w:fill="CCEEFF" w:val="clear"/>
            <w:vAlign w:val="center"/>
          </w:tcPr>
          <w:p>
            <w:pPr>
              <w:pStyle w:val="TableContents"/>
              <w:bidi w:val="0"/>
              <w:spacing w:before="0" w:after="283"/>
              <w:jc w:val="right"/>
              <w:rPr>
                <w:b/>
              </w:rPr>
            </w:pPr>
            <w:r>
              <w:rPr>
                <w:b/>
              </w:rPr>
              <w:t>2,214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b/>
              </w:rPr>
            </w:pPr>
            <w:r>
              <w:rPr>
                <w:b/>
              </w:rPr>
              <w:t>$</w:t>
            </w:r>
          </w:p>
        </w:tc>
        <w:tc>
          <w:tcPr>
            <w:tcW w:w="1378" w:type="dxa"/>
            <w:tcBorders/>
            <w:shd w:fill="CCEEFF" w:val="clear"/>
            <w:vAlign w:val="center"/>
          </w:tcPr>
          <w:p>
            <w:pPr>
              <w:pStyle w:val="TableContents"/>
              <w:bidi w:val="0"/>
              <w:spacing w:before="0" w:after="283"/>
              <w:jc w:val="right"/>
              <w:rPr>
                <w:b/>
              </w:rPr>
            </w:pPr>
            <w:r>
              <w:rPr>
                <w:b/>
              </w:rPr>
              <w:t>1,676</w:t>
            </w:r>
          </w:p>
        </w:tc>
        <w:tc>
          <w:tcPr>
            <w:tcW w:w="100" w:type="dxa"/>
            <w:tcBorders/>
            <w:shd w:fill="CCEEFF" w:val="clear"/>
            <w:vAlign w:val="center"/>
          </w:tcPr>
          <w:p>
            <w:pPr>
              <w:pStyle w:val="TableContents"/>
              <w:bidi w:val="0"/>
              <w:spacing w:before="0" w:after="283"/>
              <w:ind w:left="0" w:right="0" w:hanging="180"/>
              <w:jc w:val="left"/>
              <w:rPr/>
            </w:pPr>
            <w:r>
              <w:rPr/>
              <w:t> </w:t>
            </w:r>
            <w:bookmarkStart w:id="153" w:name="xdx_400_eus-gaap--ComprehensiveIncomeNet"/>
            <w:bookmarkEnd w:id="153"/>
          </w:p>
        </w:tc>
      </w:tr>
      <w:tr>
        <w:trPr/>
        <w:tc>
          <w:tcPr>
            <w:tcW w:w="6446" w:type="dxa"/>
            <w:tcBorders/>
            <w:shd w:fill="FFFFFF" w:val="clear"/>
            <w:vAlign w:val="center"/>
          </w:tcPr>
          <w:p>
            <w:pPr>
              <w:pStyle w:val="TableContents"/>
              <w:bidi w:val="0"/>
              <w:spacing w:before="0" w:after="283"/>
              <w:jc w:val="left"/>
              <w:rPr/>
            </w:pPr>
            <w:r>
              <w:rPr/>
              <w:t>Other comprehensive income / (loss), net of tax</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bookmarkStart w:id="154" w:name="xdx_40F_eus-gaap--OtherComprehensiveInco"/>
            <w:bookmarkEnd w:id="154"/>
          </w:p>
        </w:tc>
      </w:tr>
      <w:tr>
        <w:trPr/>
        <w:tc>
          <w:tcPr>
            <w:tcW w:w="6446"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55</w:t>
            </w:r>
          </w:p>
        </w:tc>
        <w:tc>
          <w:tcPr>
            <w:tcW w:w="100" w:type="dxa"/>
            <w:tcBorders/>
            <w:shd w:fill="CCEEFF" w:val="clear"/>
            <w:vAlign w:val="center"/>
          </w:tcPr>
          <w:p>
            <w:pPr>
              <w:pStyle w:val="TableContents"/>
              <w:bidi w:val="0"/>
              <w:spacing w:before="0" w:after="283"/>
              <w:ind w:left="0" w:right="0" w:hanging="180"/>
              <w:jc w:val="left"/>
              <w:rPr/>
            </w:pPr>
            <w:r>
              <w:rPr/>
              <w:t> </w:t>
            </w:r>
            <w:bookmarkStart w:id="155" w:name="xdx_40D_ecustom--UnrecognizedActuarialGa"/>
            <w:bookmarkEnd w:id="155"/>
          </w:p>
        </w:tc>
      </w:tr>
      <w:tr>
        <w:trPr/>
        <w:tc>
          <w:tcPr>
            <w:tcW w:w="6446" w:type="dxa"/>
            <w:tcBorders/>
            <w:shd w:fill="FFFFFF" w:val="clear"/>
            <w:vAlign w:val="center"/>
          </w:tcPr>
          <w:p>
            <w:pPr>
              <w:pStyle w:val="TableContents"/>
              <w:bidi w:val="0"/>
              <w:spacing w:before="0" w:after="283"/>
              <w:jc w:val="left"/>
              <w:rPr/>
            </w:pPr>
            <w:r>
              <w:rPr/>
              <w:t>Unrecognized actuarial gain / (loss) on employee benefit plan obligations</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FFFFFF" w:val="clear"/>
            <w:tcMar>
              <w:bottom w:w="28" w:type="dxa"/>
            </w:tcM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FFFFFF" w:val="clear"/>
            <w:tcMar>
              <w:bottom w:w="28" w:type="dxa"/>
            </w:tcMar>
            <w:vAlign w:val="center"/>
          </w:tcPr>
          <w:p>
            <w:pPr>
              <w:pStyle w:val="TableContents"/>
              <w:bidi w:val="0"/>
              <w:spacing w:before="0" w:after="283"/>
              <w:jc w:val="right"/>
              <w:rPr/>
            </w:pPr>
            <w:r>
              <w:rPr/>
              <w:t>(53</w:t>
            </w:r>
          </w:p>
        </w:tc>
        <w:tc>
          <w:tcPr>
            <w:tcW w:w="100" w:type="dxa"/>
            <w:tcBorders/>
            <w:shd w:fill="FFFFFF" w:val="clear"/>
            <w:vAlign w:val="center"/>
          </w:tcPr>
          <w:p>
            <w:pPr>
              <w:pStyle w:val="TableContents"/>
              <w:bidi w:val="0"/>
              <w:spacing w:before="0" w:after="283"/>
              <w:ind w:left="0" w:right="0" w:hanging="180"/>
              <w:jc w:val="left"/>
              <w:rPr/>
            </w:pPr>
            <w:r>
              <w:rPr/>
              <w:t>)</w:t>
            </w:r>
            <w:bookmarkStart w:id="156" w:name="xdx_406_eus-gaap--OtherComprehensiveInco"/>
            <w:bookmarkEnd w:id="156"/>
          </w:p>
        </w:tc>
      </w:tr>
      <w:tr>
        <w:trPr/>
        <w:tc>
          <w:tcPr>
            <w:tcW w:w="6446" w:type="dxa"/>
            <w:tcBorders/>
            <w:shd w:fill="CCEEFF" w:val="clear"/>
            <w:vAlign w:val="center"/>
          </w:tcPr>
          <w:p>
            <w:pPr>
              <w:pStyle w:val="TableContents"/>
              <w:bidi w:val="0"/>
              <w:spacing w:before="0" w:after="283"/>
              <w:jc w:val="left"/>
              <w:rPr>
                <w:b/>
              </w:rPr>
            </w:pPr>
            <w:r>
              <w:rPr>
                <w:b/>
              </w:rPr>
              <w:t>Total other comprehensive income / (loss), net of tax</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w:t>
            </w:r>
          </w:p>
        </w:tc>
        <w:tc>
          <w:tcPr>
            <w:tcW w:w="100" w:type="dxa"/>
            <w:tcBorders/>
            <w:shd w:fill="CCEEFF" w:val="clear"/>
            <w:vAlign w:val="center"/>
          </w:tcPr>
          <w:p>
            <w:pPr>
              <w:pStyle w:val="TableContents"/>
              <w:bidi w:val="0"/>
              <w:spacing w:before="0" w:after="283"/>
              <w:ind w:left="0" w:right="0" w:hanging="180"/>
              <w:jc w:val="left"/>
              <w:rPr/>
            </w:pPr>
            <w:r>
              <w:rPr/>
              <w:t> </w:t>
            </w:r>
            <w:bookmarkStart w:id="157" w:name="xdx_40C_eus-gaap--ComprehensiveIncomeNet"/>
            <w:bookmarkEnd w:id="157"/>
          </w:p>
        </w:tc>
      </w:tr>
      <w:tr>
        <w:trPr/>
        <w:tc>
          <w:tcPr>
            <w:tcW w:w="6446" w:type="dxa"/>
            <w:tcBorders/>
            <w:shd w:fill="FFFFFF" w:val="clear"/>
            <w:vAlign w:val="center"/>
          </w:tcPr>
          <w:p>
            <w:pPr>
              <w:pStyle w:val="TableContents"/>
              <w:bidi w:val="0"/>
              <w:spacing w:before="0" w:after="283"/>
              <w:jc w:val="left"/>
              <w:rPr>
                <w:b/>
              </w:rPr>
            </w:pPr>
            <w:r>
              <w:rPr>
                <w:b/>
              </w:rPr>
              <w:t>Comprehensive income / (loss), net of tax</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7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7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1,678</w:t>
            </w:r>
          </w:p>
        </w:tc>
        <w:tc>
          <w:tcPr>
            <w:tcW w:w="100" w:type="dxa"/>
            <w:tcBorders/>
            <w:shd w:fill="FFFFFF" w:val="clear"/>
            <w:vAlign w:val="center"/>
          </w:tcPr>
          <w:p>
            <w:pPr>
              <w:pStyle w:val="TableContents"/>
              <w:bidi w:val="0"/>
              <w:spacing w:before="0" w:after="283"/>
              <w:ind w:left="0" w:right="0" w:hanging="180"/>
              <w:jc w:val="left"/>
              <w:rPr/>
            </w:pPr>
            <w:r>
              <w:rPr/>
              <w:t> </w:t>
            </w:r>
            <w:bookmarkStart w:id="158" w:name="xdx_40C_ecustom--ComprehensiveIncomeAttr"/>
            <w:bookmarkEnd w:id="158"/>
          </w:p>
        </w:tc>
      </w:tr>
      <w:tr>
        <w:trPr/>
        <w:tc>
          <w:tcPr>
            <w:tcW w:w="6446" w:type="dxa"/>
            <w:tcBorders/>
            <w:shd w:fill="CCEEFF" w:val="clear"/>
            <w:vAlign w:val="center"/>
          </w:tcPr>
          <w:p>
            <w:pPr>
              <w:pStyle w:val="TableContents"/>
              <w:bidi w:val="0"/>
              <w:spacing w:before="0" w:after="283"/>
              <w:jc w:val="left"/>
              <w:rPr/>
            </w:pPr>
            <w:r>
              <w:rPr/>
              <w:t>Less: Comprehensive income /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62</w:t>
            </w:r>
          </w:p>
        </w:tc>
        <w:tc>
          <w:tcPr>
            <w:tcW w:w="100" w:type="dxa"/>
            <w:tcBorders/>
            <w:shd w:fill="CCEEFF" w:val="clear"/>
            <w:vAlign w:val="center"/>
          </w:tcPr>
          <w:p>
            <w:pPr>
              <w:pStyle w:val="TableContents"/>
              <w:bidi w:val="0"/>
              <w:spacing w:before="0" w:after="283"/>
              <w:ind w:left="0" w:right="0" w:hanging="180"/>
              <w:jc w:val="left"/>
              <w:rPr/>
            </w:pPr>
            <w:r>
              <w:rPr/>
              <w:t> </w:t>
            </w:r>
            <w:bookmarkStart w:id="159" w:name="xdx_402_ecustom--ComprehensiveIncomeAttr"/>
            <w:bookmarkEnd w:id="159"/>
          </w:p>
        </w:tc>
      </w:tr>
      <w:tr>
        <w:trPr/>
        <w:tc>
          <w:tcPr>
            <w:tcW w:w="6446" w:type="dxa"/>
            <w:tcBorders/>
            <w:shd w:fill="FFFFFF" w:val="clear"/>
            <w:vAlign w:val="center"/>
          </w:tcPr>
          <w:p>
            <w:pPr>
              <w:pStyle w:val="TableContents"/>
              <w:bidi w:val="0"/>
              <w:spacing w:before="0" w:after="283"/>
              <w:jc w:val="left"/>
              <w:rPr/>
            </w:pPr>
            <w:r>
              <w:rPr/>
              <w:t>Less: Comprehensive income / (loss) attributable to redeemable noncontrolling interests</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FFFFFF" w:val="clear"/>
            <w:tcMar>
              <w:bottom w:w="28" w:type="dxa"/>
            </w:tcMar>
            <w:vAlign w:val="center"/>
          </w:tcPr>
          <w:p>
            <w:pPr>
              <w:pStyle w:val="TableContents"/>
              <w:bidi w:val="0"/>
              <w:spacing w:before="0" w:after="283"/>
              <w:jc w:val="right"/>
              <w:rPr/>
            </w:pPr>
            <w:r>
              <w:rPr/>
              <w:t>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FFFFFF" w:val="clear"/>
            <w:tcMar>
              <w:bottom w:w="28" w:type="dxa"/>
            </w:tcMar>
            <w:vAlign w:val="center"/>
          </w:tcPr>
          <w:p>
            <w:pPr>
              <w:pStyle w:val="TableContents"/>
              <w:bidi w:val="0"/>
              <w:spacing w:before="0" w:after="283"/>
              <w:jc w:val="right"/>
              <w:rPr/>
            </w:pPr>
            <w:r>
              <w:rPr/>
              <w:t>102</w:t>
            </w:r>
          </w:p>
        </w:tc>
        <w:tc>
          <w:tcPr>
            <w:tcW w:w="100" w:type="dxa"/>
            <w:tcBorders/>
            <w:shd w:fill="FFFFFF" w:val="clear"/>
            <w:vAlign w:val="center"/>
          </w:tcPr>
          <w:p>
            <w:pPr>
              <w:pStyle w:val="TableContents"/>
              <w:bidi w:val="0"/>
              <w:spacing w:before="0" w:after="283"/>
              <w:ind w:left="0" w:right="0" w:hanging="180"/>
              <w:jc w:val="left"/>
              <w:rPr/>
            </w:pPr>
            <w:r>
              <w:rPr/>
              <w:t> </w:t>
            </w:r>
            <w:bookmarkStart w:id="160" w:name="xdx_408_eus-gaap--ComprehensiveIncomeNet"/>
            <w:bookmarkEnd w:id="160"/>
          </w:p>
        </w:tc>
      </w:tr>
      <w:tr>
        <w:trPr/>
        <w:tc>
          <w:tcPr>
            <w:tcW w:w="6446" w:type="dxa"/>
            <w:tcBorders/>
            <w:shd w:fill="CCEEFF" w:val="clear"/>
            <w:vAlign w:val="center"/>
          </w:tcPr>
          <w:p>
            <w:pPr>
              <w:pStyle w:val="TableContents"/>
              <w:bidi w:val="0"/>
              <w:spacing w:before="0" w:after="283"/>
              <w:jc w:val="left"/>
              <w:rPr>
                <w:b/>
              </w:rPr>
            </w:pPr>
            <w:r>
              <w:rPr>
                <w:b/>
              </w:rPr>
              <w:t>Total comprehensive income / (loss) attributable to shareholders of Aeries Technology, Inc.</w:t>
            </w:r>
          </w:p>
        </w:tc>
        <w:tc>
          <w:tcPr>
            <w:tcW w:w="60" w:type="dxa"/>
            <w:tcBorders/>
            <w:shd w:fill="CCEEFF" w:val="clear"/>
            <w:vAlign w:val="center"/>
          </w:tcPr>
          <w:p>
            <w:pPr>
              <w:pStyle w:val="TableContents"/>
              <w:bidi w:val="0"/>
              <w:spacing w:before="0" w:after="283"/>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7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7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1,514</w:t>
            </w:r>
          </w:p>
        </w:tc>
        <w:tc>
          <w:tcPr>
            <w:tcW w:w="10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1" w:name="a_006"/>
      <w:bookmarkEnd w:id="161"/>
      <w:r>
        <w:rPr>
          <w:rFonts w:ascii="Times New Roman;Times;Serif" w:hAnsi="Times New Roman;Times;Serif"/>
          <w:b/>
          <w:i w:val="false"/>
          <w:caps w:val="false"/>
          <w:smallCaps w:val="false"/>
          <w:sz w:val="20"/>
        </w:rPr>
        <w:t>AERIES TECHNOLOGY,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REDEEMABLE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 AND SHAREHOLDERS’ EQUITY (DEFICIT)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2026 and 2025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United States dollars except share and per share amounts)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2" w:name="xdx_30F_114_pn3n3_zTb44iShvE47"/>
      <w:bookmarkStart w:id="163" w:name="xdx_30F_114_pn3n3_zTb44iShvE47"/>
      <w:bookmarkEnd w:id="163"/>
    </w:p>
    <w:tbl>
      <w:tblPr>
        <w:tblW w:w="14096" w:type="dxa"/>
        <w:jc w:val="left"/>
        <w:tblInd w:w="0" w:type="dxa"/>
        <w:tblLayout w:type="fixed"/>
        <w:tblCellMar>
          <w:top w:w="0" w:type="dxa"/>
          <w:left w:w="0" w:type="dxa"/>
          <w:bottom w:w="0" w:type="dxa"/>
          <w:right w:w="0" w:type="dxa"/>
        </w:tblCellMar>
      </w:tblPr>
      <w:tblGrid>
        <w:gridCol w:w="1085"/>
        <w:gridCol w:w="60"/>
        <w:gridCol w:w="298"/>
        <w:gridCol w:w="787"/>
        <w:gridCol w:w="60"/>
        <w:gridCol w:w="60"/>
        <w:gridCol w:w="60"/>
        <w:gridCol w:w="740"/>
        <w:gridCol w:w="80"/>
        <w:gridCol w:w="60"/>
        <w:gridCol w:w="237"/>
        <w:gridCol w:w="368"/>
        <w:gridCol w:w="80"/>
        <w:gridCol w:w="60"/>
        <w:gridCol w:w="176"/>
        <w:gridCol w:w="324"/>
        <w:gridCol w:w="88"/>
        <w:gridCol w:w="88"/>
        <w:gridCol w:w="345"/>
        <w:gridCol w:w="260"/>
        <w:gridCol w:w="60"/>
        <w:gridCol w:w="60"/>
        <w:gridCol w:w="60"/>
        <w:gridCol w:w="710"/>
        <w:gridCol w:w="80"/>
        <w:gridCol w:w="60"/>
        <w:gridCol w:w="111"/>
        <w:gridCol w:w="494"/>
        <w:gridCol w:w="80"/>
        <w:gridCol w:w="60"/>
        <w:gridCol w:w="175"/>
        <w:gridCol w:w="820"/>
        <w:gridCol w:w="80"/>
        <w:gridCol w:w="60"/>
        <w:gridCol w:w="164"/>
        <w:gridCol w:w="861"/>
        <w:gridCol w:w="80"/>
        <w:gridCol w:w="60"/>
        <w:gridCol w:w="200"/>
        <w:gridCol w:w="885"/>
        <w:gridCol w:w="80"/>
        <w:gridCol w:w="60"/>
        <w:gridCol w:w="183"/>
        <w:gridCol w:w="812"/>
        <w:gridCol w:w="80"/>
        <w:gridCol w:w="60"/>
        <w:gridCol w:w="306"/>
        <w:gridCol w:w="809"/>
        <w:gridCol w:w="80"/>
        <w:gridCol w:w="60"/>
        <w:gridCol w:w="183"/>
        <w:gridCol w:w="812"/>
        <w:gridCol w:w="95"/>
      </w:tblGrid>
      <w:tr>
        <w:trPr/>
        <w:tc>
          <w:tcPr>
            <w:tcW w:w="108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bookmarkStart w:id="164" w:name="xdx_4B4_us-gaap--StatementEquityComponen"/>
            <w:bookmarkEnd w:id="164"/>
          </w:p>
        </w:tc>
        <w:tc>
          <w:tcPr>
            <w:tcW w:w="7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bookmarkStart w:id="165" w:name="xdx_4BF_us-gaap--StatementEquityComponen"/>
            <w:bookmarkEnd w:id="165"/>
          </w:p>
        </w:tc>
        <w:tc>
          <w:tcPr>
            <w:tcW w:w="3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bookmarkStart w:id="166" w:name="xdx_4B3_us-gaap--StatementEquityComponen"/>
            <w:bookmarkEnd w:id="166"/>
          </w:p>
        </w:tc>
        <w:tc>
          <w:tcPr>
            <w:tcW w:w="2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bookmarkStart w:id="167" w:name="xdx_4BF_us-gaap--StatementEquityComponen"/>
            <w:bookmarkEnd w:id="167"/>
          </w:p>
        </w:tc>
        <w:tc>
          <w:tcPr>
            <w:tcW w:w="49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168" w:name="xdx_4BD_us-gaap--StatementEquityComponen"/>
            <w:bookmarkEnd w:id="168"/>
          </w:p>
        </w:tc>
        <w:tc>
          <w:tcPr>
            <w:tcW w:w="8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169" w:name="xdx_4BF_us-gaap--StatementEquityComponen"/>
            <w:bookmarkEnd w:id="169"/>
          </w:p>
        </w:tc>
        <w:tc>
          <w:tcPr>
            <w:tcW w:w="8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bookmarkStart w:id="170" w:name="xdx_4BC_us-gaap--StatementEquityComponen"/>
            <w:bookmarkEnd w:id="170"/>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171" w:name="xdx_4BD_us-gaap--StatementEquityComponen"/>
            <w:bookmarkEnd w:id="171"/>
          </w:p>
        </w:tc>
        <w:tc>
          <w:tcPr>
            <w:tcW w:w="8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172" w:name="xdx_4B9_us-gaap--StatementEquityComponen"/>
            <w:bookmarkEnd w:id="172"/>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173" w:name="xdx_4BF_zldcPMAtk6ok"/>
            <w:bookmarkEnd w:id="173"/>
          </w:p>
        </w:tc>
        <w:tc>
          <w:tcPr>
            <w:tcW w:w="8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Redeemable</w:t>
              <w:br/>
              <w:t>noncontrolling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Ordinary Shares</w:t>
              <w:br/>
              <w:t>Class 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Ordinary Shares</w:t>
              <w:br/>
              <w:t>Class V</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Ordinary Shares</w:t>
              <w:br/>
              <w:t>Treasury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Net</w:t>
              <w:br/>
              <w:t>shareholders’</w:t>
              <w:br/>
              <w:t>investment and</w:t>
              <w:b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 deficit)</w:t>
              <w:b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 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Aeries Technology, Inc. shareholders’</w:t>
              <w:br/>
              <w:t>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br/>
              <w:t>shareholders’</w:t>
              <w:br/>
              <w:t>equity</w:t>
            </w:r>
          </w:p>
        </w:tc>
        <w:tc>
          <w:tcPr>
            <w:tcW w:w="9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95" w:type="dxa"/>
            <w:tcBorders/>
            <w:vAlign w:val="center"/>
          </w:tcPr>
          <w:p>
            <w:pPr>
              <w:pStyle w:val="TableContents"/>
              <w:bidi w:val="0"/>
              <w:spacing w:before="0" w:after="283"/>
              <w:ind w:left="0" w:right="0" w:hanging="180"/>
              <w:jc w:val="left"/>
              <w:rPr/>
            </w:pPr>
            <w:r>
              <w:rPr/>
              <w:t> </w:t>
            </w:r>
            <w:bookmarkStart w:id="174" w:name="xdx_439_c20260401__20260630_eus-gaap--St"/>
            <w:bookmarkEnd w:id="174"/>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at April 1, 2026</w:t>
            </w:r>
          </w:p>
        </w:tc>
        <w:tc>
          <w:tcPr>
            <w:tcW w:w="60" w:type="dxa"/>
            <w:tcBorders/>
            <w:shd w:fill="CCEEFF" w:val="clear"/>
            <w:vAlign w:val="center"/>
          </w:tcPr>
          <w:p>
            <w:pPr>
              <w:pStyle w:val="TableContents"/>
              <w:bidi w:val="0"/>
              <w:spacing w:before="0" w:after="283"/>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5" w:name="xdx_980_eus-gaap--SharesOutstanding_iS_p"/>
            <w:bookmarkEnd w:id="175"/>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60,62,184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3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6" w:name="xdx_98C_eus-gaap--SharesOutstanding_iS_p"/>
            <w:bookmarkEnd w:id="176"/>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7" w:name="xdx_98D_eus-gaap--SharesOutstanding_iS_p"/>
            <w:bookmarkEnd w:id="177"/>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3,74,744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(1,304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29,115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(28,873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(1,977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(3,034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(3,033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bookmarkStart w:id="178" w:name="xdx_40B_eus-gaap--NetIncomeLoss_zkwxvFQv"/>
            <w:bookmarkEnd w:id="178"/>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 (loss) for the period</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1,937</w:t>
            </w:r>
          </w:p>
        </w:tc>
        <w:tc>
          <w:tcPr>
            <w:tcW w:w="95" w:type="dxa"/>
            <w:tcBorders/>
            <w:shd w:fill="FFFFFF" w:val="clear"/>
            <w:vAlign w:val="center"/>
          </w:tcPr>
          <w:p>
            <w:pPr>
              <w:pStyle w:val="TableContents"/>
              <w:bidi w:val="0"/>
              <w:spacing w:before="0" w:after="283"/>
              <w:ind w:left="0" w:right="0" w:hanging="180"/>
              <w:jc w:val="left"/>
              <w:rPr/>
            </w:pPr>
            <w:r>
              <w:rPr/>
              <w:t> </w:t>
            </w:r>
            <w:bookmarkStart w:id="179" w:name="xdx_40F_ecustom--OtherComprehensiveLossF"/>
            <w:bookmarkEnd w:id="179"/>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comprehensive loss for the period</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257</w:t>
            </w:r>
          </w:p>
        </w:tc>
        <w:tc>
          <w:tcPr>
            <w:tcW w:w="95" w:type="dxa"/>
            <w:tcBorders/>
            <w:shd w:fill="CCEEFF" w:val="clear"/>
            <w:vAlign w:val="center"/>
          </w:tcPr>
          <w:p>
            <w:pPr>
              <w:pStyle w:val="TableContents"/>
              <w:bidi w:val="0"/>
              <w:spacing w:before="0" w:after="283"/>
              <w:ind w:left="0" w:right="0" w:hanging="180"/>
              <w:jc w:val="left"/>
              <w:rPr/>
            </w:pPr>
            <w:r>
              <w:rPr/>
              <w:t> </w:t>
            </w:r>
            <w:bookmarkStart w:id="180" w:name="xdx_401_ecustom--PurchaseOfAdditionalOwn"/>
            <w:bookmarkEnd w:id="180"/>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Purchase of additional ownership interest in subsidiary from NCI</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bookmarkStart w:id="181" w:name="xdx_407_eus-gaap--ShareBasedCompensation"/>
            <w:bookmarkEnd w:id="181"/>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 based compensation</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w:t>
            </w:r>
          </w:p>
        </w:tc>
        <w:tc>
          <w:tcPr>
            <w:tcW w:w="95" w:type="dxa"/>
            <w:tcBorders/>
            <w:shd w:fill="CCEEFF" w:val="clear"/>
            <w:vAlign w:val="center"/>
          </w:tcPr>
          <w:p>
            <w:pPr>
              <w:pStyle w:val="TableContents"/>
              <w:bidi w:val="0"/>
              <w:spacing w:before="0" w:after="283"/>
              <w:ind w:left="0" w:right="0" w:hanging="180"/>
              <w:jc w:val="left"/>
              <w:rPr/>
            </w:pPr>
            <w:r>
              <w:rPr/>
              <w:t> </w:t>
            </w:r>
            <w:bookmarkStart w:id="182" w:name="xdx_408_ecustom--PurchaseOfTreasuryStock"/>
            <w:bookmarkEnd w:id="182"/>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Purchase of Treasury Stock</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3" w:name="xdx_989_ecustom--PurchaseOfTreasuryStock"/>
            <w:bookmarkEnd w:id="183"/>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(4,19,274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4" w:name="xdx_985_ecustom--PurchaseOfTreasuryStock"/>
            <w:bookmarkEnd w:id="184"/>
          </w:p>
        </w:tc>
        <w:tc>
          <w:tcPr>
            <w:tcW w:w="7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4,19,274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(2,157</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bookmarkStart w:id="185" w:name="xdx_406_ecustom--CancellationOfTreasuryS"/>
            <w:bookmarkEnd w:id="185"/>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Cancellation of Treasury Stock</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6" w:name="xdx_981_ecustom--CancellationOfTreasuryS"/>
            <w:bookmarkEnd w:id="186"/>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(3,62,330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(1,210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95" w:type="dxa"/>
            <w:tcBorders/>
            <w:shd w:fill="CCEEFF" w:val="clear"/>
            <w:vAlign w:val="center"/>
          </w:tcPr>
          <w:p>
            <w:pPr>
              <w:pStyle w:val="TableContents"/>
              <w:bidi w:val="0"/>
              <w:spacing w:before="0" w:after="283"/>
              <w:ind w:left="0" w:right="0" w:hanging="180"/>
              <w:jc w:val="left"/>
              <w:rPr/>
            </w:pPr>
            <w:r>
              <w:rPr/>
              <w:t> </w:t>
            </w:r>
            <w:bookmarkStart w:id="187" w:name="xdx_43D_c20260401__20260630_eus-gaap--St"/>
            <w:bookmarkEnd w:id="187"/>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at June 30, 2026</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8" w:name="xdx_984_eus-gaap--SharesOutstanding_iE_p"/>
            <w:bookmarkEnd w:id="188"/>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56,42,911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3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9" w:name="xdx_98F_eus-gaap--SharesOutstanding_iE_p"/>
            <w:bookmarkEnd w:id="189"/>
          </w:p>
        </w:tc>
        <w:tc>
          <w:tcPr>
            <w:tcW w:w="3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0" w:name="xdx_984_eus-gaap--SharesOutstanding_iE_p"/>
            <w:bookmarkEnd w:id="190"/>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4,31,688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(2,251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(27,091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(1,739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(2,799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(2,629</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bl>
    <w:p>
      <w:pPr>
        <w:pStyle w:val="TextBody"/>
        <w:bidi w:val="0"/>
        <w:jc w:val="left"/>
        <w:rPr>
          <w:caps w:val="false"/>
          <w:smallCaps w:val="false"/>
        </w:rPr>
      </w:pPr>
      <w:r>
        <w:rPr>
          <w:caps w:val="false"/>
          <w:smallCaps w:val="false"/>
        </w:rPr>
        <w:t> </w:t>
      </w:r>
    </w:p>
    <w:tbl>
      <w:tblPr>
        <w:tblW w:w="13951" w:type="dxa"/>
        <w:jc w:val="left"/>
        <w:tblInd w:w="0" w:type="dxa"/>
        <w:tblLayout w:type="fixed"/>
        <w:tblCellMar>
          <w:top w:w="0" w:type="dxa"/>
          <w:left w:w="0" w:type="dxa"/>
          <w:bottom w:w="0" w:type="dxa"/>
          <w:right w:w="0" w:type="dxa"/>
        </w:tblCellMar>
      </w:tblPr>
      <w:tblGrid>
        <w:gridCol w:w="1085"/>
        <w:gridCol w:w="60"/>
        <w:gridCol w:w="298"/>
        <w:gridCol w:w="787"/>
        <w:gridCol w:w="80"/>
        <w:gridCol w:w="60"/>
        <w:gridCol w:w="60"/>
        <w:gridCol w:w="740"/>
        <w:gridCol w:w="60"/>
        <w:gridCol w:w="60"/>
        <w:gridCol w:w="302"/>
        <w:gridCol w:w="303"/>
        <w:gridCol w:w="60"/>
        <w:gridCol w:w="60"/>
        <w:gridCol w:w="175"/>
        <w:gridCol w:w="325"/>
        <w:gridCol w:w="83"/>
        <w:gridCol w:w="83"/>
        <w:gridCol w:w="300"/>
        <w:gridCol w:w="305"/>
        <w:gridCol w:w="60"/>
        <w:gridCol w:w="60"/>
        <w:gridCol w:w="60"/>
        <w:gridCol w:w="650"/>
        <w:gridCol w:w="60"/>
        <w:gridCol w:w="60"/>
        <w:gridCol w:w="144"/>
        <w:gridCol w:w="461"/>
        <w:gridCol w:w="80"/>
        <w:gridCol w:w="60"/>
        <w:gridCol w:w="175"/>
        <w:gridCol w:w="820"/>
        <w:gridCol w:w="60"/>
        <w:gridCol w:w="60"/>
        <w:gridCol w:w="164"/>
        <w:gridCol w:w="861"/>
        <w:gridCol w:w="80"/>
        <w:gridCol w:w="60"/>
        <w:gridCol w:w="259"/>
        <w:gridCol w:w="826"/>
        <w:gridCol w:w="80"/>
        <w:gridCol w:w="60"/>
        <w:gridCol w:w="183"/>
        <w:gridCol w:w="812"/>
        <w:gridCol w:w="80"/>
        <w:gridCol w:w="60"/>
        <w:gridCol w:w="266"/>
        <w:gridCol w:w="849"/>
        <w:gridCol w:w="80"/>
        <w:gridCol w:w="60"/>
        <w:gridCol w:w="183"/>
        <w:gridCol w:w="812"/>
        <w:gridCol w:w="80"/>
      </w:tblGrid>
      <w:tr>
        <w:trPr/>
        <w:tc>
          <w:tcPr>
            <w:tcW w:w="1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Redeemable</w:t>
              <w:b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Ordinary Shares</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Ordinary Shares</w:t>
              <w:br/>
              <w:t>Class V</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Ordinary Shares</w:t>
              <w:br/>
              <w:t>Treasury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Net</w:t>
              <w:br/>
              <w:t>shareholders’</w:t>
              <w:br/>
              <w:t>investment and</w:t>
              <w:b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 deficit)</w:t>
              <w:b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 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Aeries Technology, Inc. shareholders’</w:t>
              <w:br/>
              <w:t>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br/>
              <w:t>shareholders’</w:t>
              <w:br/>
              <w:t>equity</w:t>
            </w:r>
          </w:p>
        </w:tc>
        <w:tc>
          <w:tcPr>
            <w:tcW w:w="80"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ind w:left="0" w:right="0" w:hanging="180"/>
              <w:jc w:val="left"/>
              <w:rPr/>
            </w:pPr>
            <w:r>
              <w:rPr/>
              <w:t> </w:t>
            </w:r>
            <w:bookmarkStart w:id="191" w:name="xdx_43B_c20250401__20250630_eus-gaap--St"/>
            <w:bookmarkEnd w:id="191"/>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at April 1, 2025</w:t>
            </w:r>
          </w:p>
        </w:tc>
        <w:tc>
          <w:tcPr>
            <w:tcW w:w="60" w:type="dxa"/>
            <w:tcBorders/>
            <w:shd w:fill="CCEEFF" w:val="clear"/>
            <w:vAlign w:val="center"/>
          </w:tcPr>
          <w:p>
            <w:pPr>
              <w:pStyle w:val="TableContents"/>
              <w:bidi w:val="0"/>
              <w:spacing w:before="0" w:after="283"/>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2" w:name="xdx_987_eus-gaap--SharesOutstanding_iS_p"/>
            <w:bookmarkEnd w:id="192"/>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58,94,078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3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3" w:name="xdx_982_eus-gaap--SharesOutstanding_iS_p"/>
            <w:bookmarkEnd w:id="193"/>
          </w:p>
        </w:tc>
        <w:tc>
          <w:tcPr>
            <w:tcW w:w="3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4" w:name="xdx_982_eus-gaap--SharesOutstanding_iS_p"/>
            <w:bookmarkEnd w:id="194"/>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1,60,674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(724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(31,380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(908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(5,804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(6,062</w:t>
            </w:r>
          </w:p>
        </w:tc>
        <w:tc>
          <w:tcPr>
            <w:tcW w:w="80"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bookmarkStart w:id="195" w:name="xdx_405_ecustom--NetLossForPeriodPriorTo"/>
            <w:bookmarkEnd w:id="195"/>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 (loss) for the period</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1,574</w:t>
            </w:r>
          </w:p>
        </w:tc>
        <w:tc>
          <w:tcPr>
            <w:tcW w:w="80" w:type="dxa"/>
            <w:tcBorders/>
            <w:shd w:fill="FFFFFF" w:val="clear"/>
            <w:vAlign w:val="center"/>
          </w:tcPr>
          <w:p>
            <w:pPr>
              <w:pStyle w:val="TableContents"/>
              <w:bidi w:val="0"/>
              <w:spacing w:before="0" w:after="283"/>
              <w:ind w:left="0" w:right="0" w:hanging="180"/>
              <w:jc w:val="left"/>
              <w:rPr/>
            </w:pPr>
            <w:r>
              <w:rPr/>
              <w:t> </w:t>
            </w:r>
            <w:bookmarkStart w:id="196" w:name="xdx_407_ecustom--OtherComprehensiveLossF"/>
            <w:bookmarkEnd w:id="196"/>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comprehensive loss for the period</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ind w:left="0" w:right="0" w:hanging="180"/>
              <w:jc w:val="left"/>
              <w:rPr/>
            </w:pPr>
            <w:r>
              <w:rPr/>
              <w:t> </w:t>
            </w:r>
            <w:bookmarkStart w:id="197" w:name="xdx_430_c20250401__20250630_eus-gaap--St"/>
            <w:bookmarkEnd w:id="197"/>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at June 30, 2025</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8" w:name="xdx_986_eus-gaap--SharesOutstanding_iE_p"/>
            <w:bookmarkEnd w:id="198"/>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58,94,078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9" w:name="xdx_985_eus-gaap--SharesOutstanding_iE_p"/>
            <w:bookmarkEnd w:id="199"/>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0" w:name="xdx_98A_eus-gaap--SharesOutstanding_iE_p"/>
            <w:bookmarkEnd w:id="200"/>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1,60,674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(724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(29,868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(908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(4,292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(196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(4,488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4"/>
              </w:rPr>
            </w:pPr>
            <w:r>
              <w:rPr>
                <w:rFonts w:ascii="Times New Roman;Times;Serif" w:hAnsi="Times New Roman;Times;Serif"/>
                <w:b/>
                <w:sz w:val="14"/>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br/>
        <w:t>The Company’s Class A ordinary shares outstanding as of March 31, 2026 has been retroactively restated for the Company’s June 2026 share consolidation.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01" w:name="a_007"/>
      <w:bookmarkEnd w:id="201"/>
      <w:r>
        <w:rPr>
          <w:rFonts w:ascii="Times New Roman;Times;Serif" w:hAnsi="Times New Roman;Times;Serif"/>
          <w:b/>
          <w:i w:val="false"/>
          <w:caps w:val="false"/>
          <w:smallCaps w:val="false"/>
          <w:sz w:val="20"/>
        </w:rPr>
        <w:t>AERIES TECHNOLOGY,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2026, and 2025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United States dollars except share and per share amounts)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2" w:name="xdx_305_112_pn3n3_zmSMnxM0p6ac"/>
      <w:bookmarkStart w:id="203" w:name="xdx_305_112_pn3n3_zmSMnxM0p6ac"/>
      <w:bookmarkEnd w:id="203"/>
    </w:p>
    <w:tbl>
      <w:tblPr>
        <w:tblW w:w="10205" w:type="dxa"/>
        <w:jc w:val="left"/>
        <w:tblInd w:w="0" w:type="dxa"/>
        <w:tblLayout w:type="fixed"/>
        <w:tblCellMar>
          <w:top w:w="0" w:type="dxa"/>
          <w:left w:w="0" w:type="dxa"/>
          <w:bottom w:w="0" w:type="dxa"/>
          <w:right w:w="0" w:type="dxa"/>
        </w:tblCellMar>
      </w:tblPr>
      <w:tblGrid>
        <w:gridCol w:w="6446"/>
        <w:gridCol w:w="60"/>
        <w:gridCol w:w="311"/>
        <w:gridCol w:w="1411"/>
        <w:gridCol w:w="95"/>
        <w:gridCol w:w="60"/>
        <w:gridCol w:w="311"/>
        <w:gridCol w:w="1411"/>
        <w:gridCol w:w="100"/>
      </w:tblGrid>
      <w:tr>
        <w:trPr/>
        <w:tc>
          <w:tcPr>
            <w:tcW w:w="6446"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bookmarkStart w:id="204" w:name="xdx_493_20260401__20260630_zdqQLjBbjam"/>
            <w:bookmarkEnd w:id="204"/>
          </w:p>
        </w:tc>
        <w:tc>
          <w:tcPr>
            <w:tcW w:w="14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bookmarkStart w:id="205" w:name="xdx_49F_20250401__20250630_zwmrGb8tMT4i"/>
            <w:bookmarkEnd w:id="205"/>
          </w:p>
        </w:tc>
        <w:tc>
          <w:tcPr>
            <w:tcW w:w="14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64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br/>
              <w:t>2025</w:t>
            </w:r>
          </w:p>
        </w:tc>
        <w:tc>
          <w:tcPr>
            <w:tcW w:w="100" w:type="dxa"/>
            <w:tcBorders/>
            <w:vAlign w:val="center"/>
          </w:tcPr>
          <w:p>
            <w:pPr>
              <w:pStyle w:val="TableContents"/>
              <w:bidi w:val="0"/>
              <w:spacing w:before="0" w:after="283"/>
              <w:ind w:left="0" w:right="0" w:hanging="180"/>
              <w:jc w:val="left"/>
              <w:rPr/>
            </w:pPr>
            <w:r>
              <w:rPr/>
              <w:t> </w:t>
            </w:r>
            <w:bookmarkStart w:id="206" w:name="xdx_400_eus-gaap--NetCashProvidedByUsedI"/>
            <w:bookmarkEnd w:id="206"/>
          </w:p>
        </w:tc>
      </w:tr>
      <w:tr>
        <w:trPr/>
        <w:tc>
          <w:tcPr>
            <w:tcW w:w="6446"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bookmarkStart w:id="207" w:name="xdx_402_eus-gaap--ProfitLoss_maCzz8s_zyN"/>
            <w:bookmarkEnd w:id="207"/>
          </w:p>
        </w:tc>
      </w:tr>
      <w:tr>
        <w:trPr/>
        <w:tc>
          <w:tcPr>
            <w:tcW w:w="6446" w:type="dxa"/>
            <w:tcBorders/>
            <w:shd w:fill="FFFFFF" w:val="clear"/>
            <w:vAlign w:val="center"/>
          </w:tcPr>
          <w:p>
            <w:pPr>
              <w:pStyle w:val="TableContents"/>
              <w:bidi w:val="0"/>
              <w:spacing w:before="0" w:after="283"/>
              <w:jc w:val="left"/>
              <w:rPr/>
            </w:pPr>
            <w:r>
              <w:rPr/>
              <w:t>Net income / (loss)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2,214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1,676</w:t>
            </w:r>
          </w:p>
        </w:tc>
        <w:tc>
          <w:tcPr>
            <w:tcW w:w="100" w:type="dxa"/>
            <w:tcBorders/>
            <w:shd w:fill="FFFFFF" w:val="clear"/>
            <w:vAlign w:val="center"/>
          </w:tcPr>
          <w:p>
            <w:pPr>
              <w:pStyle w:val="TableContents"/>
              <w:bidi w:val="0"/>
              <w:spacing w:before="0" w:after="283"/>
              <w:ind w:left="0" w:right="0" w:hanging="180"/>
              <w:jc w:val="left"/>
              <w:rPr/>
            </w:pPr>
            <w:r>
              <w:rPr/>
              <w:t> </w:t>
            </w:r>
            <w:bookmarkStart w:id="208" w:name="xdx_405_eus-gaap--AdjustmentsToReconcile"/>
            <w:bookmarkEnd w:id="208"/>
          </w:p>
        </w:tc>
      </w:tr>
      <w:tr>
        <w:trPr/>
        <w:tc>
          <w:tcPr>
            <w:tcW w:w="6446" w:type="dxa"/>
            <w:tcBorders/>
            <w:shd w:fill="CCEEFF" w:val="clear"/>
            <w:vAlign w:val="center"/>
          </w:tcPr>
          <w:p>
            <w:pPr>
              <w:pStyle w:val="TableContents"/>
              <w:bidi w:val="0"/>
              <w:spacing w:before="0" w:after="283"/>
              <w:jc w:val="left"/>
              <w:rPr/>
            </w:pPr>
            <w:r>
              <w:rPr/>
              <w:t>Adjustments to reconcile net income / (loss) to net cash (used in) / provided by operating activities: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bookmarkStart w:id="209" w:name="xdx_400_eus-gaap--DepreciationAndAmortiz"/>
            <w:bookmarkEnd w:id="209"/>
          </w:p>
        </w:tc>
      </w:tr>
      <w:tr>
        <w:trPr/>
        <w:tc>
          <w:tcPr>
            <w:tcW w:w="6446"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205</w:t>
            </w:r>
          </w:p>
        </w:tc>
        <w:tc>
          <w:tcPr>
            <w:tcW w:w="100" w:type="dxa"/>
            <w:tcBorders/>
            <w:shd w:fill="FFFFFF" w:val="clear"/>
            <w:vAlign w:val="center"/>
          </w:tcPr>
          <w:p>
            <w:pPr>
              <w:pStyle w:val="TableContents"/>
              <w:bidi w:val="0"/>
              <w:spacing w:before="0" w:after="283"/>
              <w:ind w:left="0" w:right="0" w:hanging="180"/>
              <w:jc w:val="left"/>
              <w:rPr/>
            </w:pPr>
            <w:r>
              <w:rPr/>
              <w:t> </w:t>
            </w:r>
            <w:bookmarkStart w:id="210" w:name="xdx_407_eus-gaap--ImpairmentOfInvestment"/>
            <w:bookmarkEnd w:id="210"/>
          </w:p>
        </w:tc>
      </w:tr>
      <w:tr>
        <w:trPr/>
        <w:tc>
          <w:tcPr>
            <w:tcW w:w="6446" w:type="dxa"/>
            <w:tcBorders/>
            <w:shd w:fill="CCEEFF" w:val="clear"/>
            <w:vAlign w:val="center"/>
          </w:tcPr>
          <w:p>
            <w:pPr>
              <w:pStyle w:val="TableContents"/>
              <w:bidi w:val="0"/>
              <w:spacing w:before="0" w:after="283"/>
              <w:jc w:val="left"/>
              <w:rPr/>
            </w:pPr>
            <w:r>
              <w:rPr/>
              <w:t>Amortization of prior service cost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bookmarkStart w:id="211" w:name="xdx_40F_eus-gaap--AllocatedShareBasedCom"/>
            <w:bookmarkEnd w:id="211"/>
          </w:p>
        </w:tc>
      </w:tr>
      <w:tr>
        <w:trPr/>
        <w:tc>
          <w:tcPr>
            <w:tcW w:w="6446"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bookmarkStart w:id="212" w:name="xdx_40E_eus-gaap--DeferredIncomeTaxesAnd"/>
            <w:bookmarkEnd w:id="212"/>
          </w:p>
        </w:tc>
      </w:tr>
      <w:tr>
        <w:trPr/>
        <w:tc>
          <w:tcPr>
            <w:tcW w:w="6446" w:type="dxa"/>
            <w:tcBorders/>
            <w:shd w:fill="CCEEFF" w:val="clear"/>
            <w:vAlign w:val="center"/>
          </w:tcPr>
          <w:p>
            <w:pPr>
              <w:pStyle w:val="TableContents"/>
              <w:bidi w:val="0"/>
              <w:spacing w:before="0" w:after="283"/>
              <w:jc w:val="left"/>
              <w:rPr/>
            </w:pPr>
            <w:r>
              <w:rPr/>
              <w:t>Deferred tax expense / (benefit)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56</w:t>
            </w:r>
          </w:p>
        </w:tc>
        <w:tc>
          <w:tcPr>
            <w:tcW w:w="100" w:type="dxa"/>
            <w:tcBorders/>
            <w:shd w:fill="CCEEFF" w:val="clear"/>
            <w:vAlign w:val="center"/>
          </w:tcPr>
          <w:p>
            <w:pPr>
              <w:pStyle w:val="TableContents"/>
              <w:bidi w:val="0"/>
              <w:spacing w:before="0" w:after="283"/>
              <w:ind w:left="0" w:right="0" w:hanging="180"/>
              <w:jc w:val="left"/>
              <w:rPr/>
            </w:pPr>
            <w:r>
              <w:rPr/>
              <w:t> </w:t>
            </w:r>
            <w:bookmarkStart w:id="213" w:name="xdx_405_ecustom--AccruedIncomeFromLongte"/>
            <w:bookmarkEnd w:id="213"/>
          </w:p>
        </w:tc>
      </w:tr>
      <w:tr>
        <w:trPr/>
        <w:tc>
          <w:tcPr>
            <w:tcW w:w="6446" w:type="dxa"/>
            <w:tcBorders/>
            <w:shd w:fill="FFFFFF" w:val="clear"/>
            <w:vAlign w:val="center"/>
          </w:tcPr>
          <w:p>
            <w:pPr>
              <w:pStyle w:val="TableContents"/>
              <w:bidi w:val="0"/>
              <w:spacing w:before="0" w:after="283"/>
              <w:jc w:val="left"/>
              <w:rPr/>
            </w:pPr>
            <w:r>
              <w:rPr/>
              <w:t>Accrued income from long-term investments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(59</w:t>
            </w:r>
          </w:p>
        </w:tc>
        <w:tc>
          <w:tcPr>
            <w:tcW w:w="100" w:type="dxa"/>
            <w:tcBorders/>
            <w:shd w:fill="FFFFFF" w:val="clear"/>
            <w:vAlign w:val="center"/>
          </w:tcPr>
          <w:p>
            <w:pPr>
              <w:pStyle w:val="TableContents"/>
              <w:bidi w:val="0"/>
              <w:spacing w:before="0" w:after="283"/>
              <w:ind w:left="0" w:right="0" w:hanging="180"/>
              <w:jc w:val="left"/>
              <w:rPr/>
            </w:pPr>
            <w:r>
              <w:rPr/>
              <w:t>)</w:t>
            </w:r>
            <w:bookmarkStart w:id="214" w:name="xdx_404_eus-gaap--ProvisionForDoubtfulAc"/>
            <w:bookmarkEnd w:id="214"/>
          </w:p>
        </w:tc>
      </w:tr>
      <w:tr>
        <w:trPr/>
        <w:tc>
          <w:tcPr>
            <w:tcW w:w="6446" w:type="dxa"/>
            <w:tcBorders/>
            <w:shd w:fill="CCEEFF" w:val="clear"/>
            <w:vAlign w:val="center"/>
          </w:tcPr>
          <w:p>
            <w:pPr>
              <w:pStyle w:val="TableContents"/>
              <w:bidi w:val="0"/>
              <w:spacing w:before="0" w:after="283"/>
              <w:jc w:val="left"/>
              <w:rPr/>
            </w:pPr>
            <w:r>
              <w:rPr/>
              <w:t>Provision for expected credit loss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22</w:t>
            </w:r>
          </w:p>
        </w:tc>
        <w:tc>
          <w:tcPr>
            <w:tcW w:w="100" w:type="dxa"/>
            <w:tcBorders/>
            <w:shd w:fill="CCEEFF" w:val="clear"/>
            <w:vAlign w:val="center"/>
          </w:tcPr>
          <w:p>
            <w:pPr>
              <w:pStyle w:val="TableContents"/>
              <w:bidi w:val="0"/>
              <w:spacing w:before="0" w:after="283"/>
              <w:ind w:left="0" w:right="0" w:hanging="180"/>
              <w:jc w:val="left"/>
              <w:rPr/>
            </w:pPr>
            <w:r>
              <w:rPr/>
              <w:t> </w:t>
            </w:r>
            <w:bookmarkStart w:id="215" w:name="xdx_406_ecustom--GainOnLeaseTermination_"/>
            <w:bookmarkEnd w:id="215"/>
          </w:p>
        </w:tc>
      </w:tr>
      <w:tr>
        <w:trPr/>
        <w:tc>
          <w:tcPr>
            <w:tcW w:w="6446" w:type="dxa"/>
            <w:tcBorders/>
            <w:shd w:fill="FFFFFF" w:val="clear"/>
            <w:vAlign w:val="center"/>
          </w:tcPr>
          <w:p>
            <w:pPr>
              <w:pStyle w:val="TableContents"/>
              <w:bidi w:val="0"/>
              <w:spacing w:before="0" w:after="283"/>
              <w:jc w:val="left"/>
              <w:rPr/>
            </w:pPr>
            <w:r>
              <w:rPr/>
              <w:t>Sundry balances written back</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(1</w:t>
            </w:r>
          </w:p>
        </w:tc>
        <w:tc>
          <w:tcPr>
            <w:tcW w:w="100" w:type="dxa"/>
            <w:tcBorders/>
            <w:shd w:fill="FFFFFF" w:val="clear"/>
            <w:vAlign w:val="center"/>
          </w:tcPr>
          <w:p>
            <w:pPr>
              <w:pStyle w:val="TableContents"/>
              <w:bidi w:val="0"/>
              <w:spacing w:before="0" w:after="283"/>
              <w:ind w:left="0" w:right="0" w:hanging="180"/>
              <w:jc w:val="left"/>
              <w:rPr/>
            </w:pPr>
            <w:r>
              <w:rPr/>
              <w:t>)</w:t>
            </w:r>
            <w:bookmarkStart w:id="216" w:name="xdx_406_ecustom--GainOnSettlementOfLiabi"/>
            <w:bookmarkEnd w:id="216"/>
          </w:p>
        </w:tc>
      </w:tr>
      <w:tr>
        <w:trPr/>
        <w:tc>
          <w:tcPr>
            <w:tcW w:w="6446" w:type="dxa"/>
            <w:tcBorders/>
            <w:shd w:fill="CCEEFF" w:val="clear"/>
            <w:vAlign w:val="center"/>
          </w:tcPr>
          <w:p>
            <w:pPr>
              <w:pStyle w:val="TableContents"/>
              <w:bidi w:val="0"/>
              <w:spacing w:before="0" w:after="283"/>
              <w:jc w:val="left"/>
              <w:rPr/>
            </w:pPr>
            <w:r>
              <w:rPr/>
              <w:t>Gain on settlement of liability</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bookmarkStart w:id="217" w:name="xdx_40A_eus-gaap--GainLossOnSaleOfProper"/>
            <w:bookmarkEnd w:id="217"/>
          </w:p>
        </w:tc>
      </w:tr>
      <w:tr>
        <w:trPr/>
        <w:tc>
          <w:tcPr>
            <w:tcW w:w="6446" w:type="dxa"/>
            <w:tcBorders/>
            <w:shd w:fill="FFFFFF" w:val="clear"/>
            <w:vAlign w:val="center"/>
          </w:tcPr>
          <w:p>
            <w:pPr>
              <w:pStyle w:val="TableContents"/>
              <w:bidi w:val="0"/>
              <w:spacing w:before="0" w:after="283"/>
              <w:jc w:val="left"/>
              <w:rPr/>
            </w:pPr>
            <w:r>
              <w:rPr/>
              <w:t>(Profit) / loss on sale of property and equipment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(19</w:t>
            </w:r>
          </w:p>
        </w:tc>
        <w:tc>
          <w:tcPr>
            <w:tcW w:w="100" w:type="dxa"/>
            <w:tcBorders/>
            <w:shd w:fill="FFFFFF" w:val="clear"/>
            <w:vAlign w:val="center"/>
          </w:tcPr>
          <w:p>
            <w:pPr>
              <w:pStyle w:val="TableContents"/>
              <w:bidi w:val="0"/>
              <w:spacing w:before="0" w:after="283"/>
              <w:ind w:left="0" w:right="0" w:hanging="180"/>
              <w:jc w:val="left"/>
              <w:rPr/>
            </w:pPr>
            <w:r>
              <w:rPr/>
              <w:t>)</w:t>
            </w:r>
            <w:bookmarkStart w:id="218" w:name="xdx_40D_eus-gaap--IncreaseDecreaseInDeri"/>
            <w:bookmarkEnd w:id="218"/>
          </w:p>
        </w:tc>
      </w:tr>
      <w:tr>
        <w:trPr/>
        <w:tc>
          <w:tcPr>
            <w:tcW w:w="6446" w:type="dxa"/>
            <w:tcBorders/>
            <w:shd w:fill="CCEEFF" w:val="clear"/>
            <w:vAlign w:val="center"/>
          </w:tcPr>
          <w:p>
            <w:pPr>
              <w:pStyle w:val="TableContents"/>
              <w:bidi w:val="0"/>
              <w:spacing w:before="0" w:after="283"/>
              <w:jc w:val="left"/>
              <w:rPr/>
            </w:pPr>
            <w:r>
              <w:rPr/>
              <w:t>Change in fair value of forward purchase agreement put option liability</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(1,255</w:t>
            </w:r>
          </w:p>
        </w:tc>
        <w:tc>
          <w:tcPr>
            <w:tcW w:w="100" w:type="dxa"/>
            <w:tcBorders/>
            <w:shd w:fill="CCEEFF" w:val="clear"/>
            <w:vAlign w:val="center"/>
          </w:tcPr>
          <w:p>
            <w:pPr>
              <w:pStyle w:val="TableContents"/>
              <w:bidi w:val="0"/>
              <w:spacing w:before="0" w:after="283"/>
              <w:ind w:left="0" w:right="0" w:hanging="180"/>
              <w:jc w:val="left"/>
              <w:rPr/>
            </w:pPr>
            <w:r>
              <w:rPr/>
              <w:t>)</w:t>
            </w:r>
            <w:bookmarkStart w:id="219" w:name="xdx_40C_ecustom--ChangeInFairValueOfDeri"/>
            <w:bookmarkEnd w:id="219"/>
          </w:p>
        </w:tc>
      </w:tr>
      <w:tr>
        <w:trPr/>
        <w:tc>
          <w:tcPr>
            <w:tcW w:w="6446" w:type="dxa"/>
            <w:tcBorders/>
            <w:shd w:fill="FFFFFF" w:val="clear"/>
            <w:vAlign w:val="center"/>
          </w:tcPr>
          <w:p>
            <w:pPr>
              <w:pStyle w:val="TableContents"/>
              <w:bidi w:val="0"/>
              <w:spacing w:before="0" w:after="283"/>
              <w:jc w:val="left"/>
              <w:rPr/>
            </w:pPr>
            <w:r>
              <w:rPr/>
              <w:t>Change in fair value of derivative warrant liabilities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(23</w:t>
            </w:r>
          </w:p>
        </w:tc>
        <w:tc>
          <w:tcPr>
            <w:tcW w:w="100" w:type="dxa"/>
            <w:tcBorders/>
            <w:shd w:fill="FFFFFF" w:val="clear"/>
            <w:vAlign w:val="center"/>
          </w:tcPr>
          <w:p>
            <w:pPr>
              <w:pStyle w:val="TableContents"/>
              <w:bidi w:val="0"/>
              <w:spacing w:before="0" w:after="283"/>
              <w:ind w:left="0" w:right="0" w:hanging="180"/>
              <w:jc w:val="left"/>
              <w:rPr/>
            </w:pPr>
            <w:r>
              <w:rPr/>
              <w:t>)</w:t>
            </w:r>
            <w:bookmarkStart w:id="220" w:name="xdx_409_ecustom--UnrealizedExchangeGain_"/>
            <w:bookmarkEnd w:id="220"/>
          </w:p>
        </w:tc>
      </w:tr>
      <w:tr>
        <w:trPr/>
        <w:tc>
          <w:tcPr>
            <w:tcW w:w="6446" w:type="dxa"/>
            <w:tcBorders/>
            <w:shd w:fill="CCEEFF" w:val="clear"/>
            <w:vAlign w:val="center"/>
          </w:tcPr>
          <w:p>
            <w:pPr>
              <w:pStyle w:val="TableContents"/>
              <w:bidi w:val="0"/>
              <w:spacing w:before="0" w:after="283"/>
              <w:jc w:val="left"/>
              <w:rPr/>
            </w:pPr>
            <w:r>
              <w:rPr/>
              <w:t>Unrealized exchange (gain) / loss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(38</w:t>
            </w:r>
          </w:p>
        </w:tc>
        <w:tc>
          <w:tcPr>
            <w:tcW w:w="100" w:type="dxa"/>
            <w:tcBorders/>
            <w:shd w:fill="CCEEFF" w:val="clear"/>
            <w:vAlign w:val="center"/>
          </w:tcPr>
          <w:p>
            <w:pPr>
              <w:pStyle w:val="TableContents"/>
              <w:bidi w:val="0"/>
              <w:spacing w:before="0" w:after="283"/>
              <w:ind w:left="0" w:right="0" w:hanging="180"/>
              <w:jc w:val="left"/>
              <w:rPr/>
            </w:pPr>
            <w:r>
              <w:rPr/>
              <w:t>)</w:t>
            </w:r>
            <w:bookmarkStart w:id="221" w:name="xdx_400_eus-gaap--IncreaseDecreaseInOper"/>
            <w:bookmarkEnd w:id="221"/>
          </w:p>
        </w:tc>
      </w:tr>
      <w:tr>
        <w:trPr/>
        <w:tc>
          <w:tcPr>
            <w:tcW w:w="6446"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bookmarkStart w:id="222" w:name="xdx_407_eus-gaap--IncreaseDecreaseInAcco"/>
            <w:bookmarkEnd w:id="222"/>
          </w:p>
        </w:tc>
      </w:tr>
      <w:tr>
        <w:trPr/>
        <w:tc>
          <w:tcPr>
            <w:tcW w:w="6446"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1,660</w:t>
            </w:r>
          </w:p>
        </w:tc>
        <w:tc>
          <w:tcPr>
            <w:tcW w:w="100" w:type="dxa"/>
            <w:tcBorders/>
            <w:shd w:fill="CCEEFF" w:val="clear"/>
            <w:vAlign w:val="center"/>
          </w:tcPr>
          <w:p>
            <w:pPr>
              <w:pStyle w:val="TableContents"/>
              <w:bidi w:val="0"/>
              <w:spacing w:before="0" w:after="283"/>
              <w:ind w:left="0" w:right="0" w:hanging="180"/>
              <w:jc w:val="left"/>
              <w:rPr/>
            </w:pPr>
            <w:r>
              <w:rPr/>
              <w:t> </w:t>
            </w:r>
            <w:bookmarkStart w:id="223" w:name="xdx_406_eus-gaap--IncreaseDecreaseInPrep"/>
            <w:bookmarkEnd w:id="223"/>
          </w:p>
        </w:tc>
      </w:tr>
      <w:tr>
        <w:trPr/>
        <w:tc>
          <w:tcPr>
            <w:tcW w:w="6446"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316</w:t>
            </w:r>
          </w:p>
        </w:tc>
        <w:tc>
          <w:tcPr>
            <w:tcW w:w="100" w:type="dxa"/>
            <w:tcBorders/>
            <w:shd w:fill="FFFFFF" w:val="clear"/>
            <w:vAlign w:val="center"/>
          </w:tcPr>
          <w:p>
            <w:pPr>
              <w:pStyle w:val="TableContents"/>
              <w:bidi w:val="0"/>
              <w:spacing w:before="0" w:after="283"/>
              <w:ind w:left="0" w:right="0" w:hanging="180"/>
              <w:jc w:val="left"/>
              <w:rPr/>
            </w:pPr>
            <w:r>
              <w:rPr/>
              <w:t> </w:t>
            </w:r>
            <w:bookmarkStart w:id="224" w:name="xdx_400_eus-gaap--IncreaseDecreaseInOthe"/>
            <w:bookmarkEnd w:id="224"/>
          </w:p>
        </w:tc>
      </w:tr>
      <w:tr>
        <w:trPr/>
        <w:tc>
          <w:tcPr>
            <w:tcW w:w="6446" w:type="dxa"/>
            <w:tcBorders/>
            <w:shd w:fill="CCEEFF" w:val="clear"/>
            <w:vAlign w:val="center"/>
          </w:tcPr>
          <w:p>
            <w:pPr>
              <w:pStyle w:val="TableContents"/>
              <w:bidi w:val="0"/>
              <w:spacing w:before="0" w:after="283"/>
              <w:jc w:val="left"/>
              <w:rPr/>
            </w:pPr>
            <w:r>
              <w:rPr/>
              <w:t>Operating right-of-use assets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685</w:t>
            </w:r>
          </w:p>
        </w:tc>
        <w:tc>
          <w:tcPr>
            <w:tcW w:w="100" w:type="dxa"/>
            <w:tcBorders/>
            <w:shd w:fill="CCEEFF" w:val="clear"/>
            <w:vAlign w:val="center"/>
          </w:tcPr>
          <w:p>
            <w:pPr>
              <w:pStyle w:val="TableContents"/>
              <w:bidi w:val="0"/>
              <w:spacing w:before="0" w:after="283"/>
              <w:ind w:left="0" w:right="0" w:hanging="180"/>
              <w:jc w:val="left"/>
              <w:rPr/>
            </w:pPr>
            <w:r>
              <w:rPr/>
              <w:t> </w:t>
            </w:r>
            <w:bookmarkStart w:id="225" w:name="xdx_405_eus-gaap--IncreaseDecreaseInOthe"/>
            <w:bookmarkEnd w:id="225"/>
          </w:p>
        </w:tc>
      </w:tr>
      <w:tr>
        <w:trPr/>
        <w:tc>
          <w:tcPr>
            <w:tcW w:w="6446"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1,169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(786</w:t>
            </w:r>
          </w:p>
        </w:tc>
        <w:tc>
          <w:tcPr>
            <w:tcW w:w="100" w:type="dxa"/>
            <w:tcBorders/>
            <w:shd w:fill="FFFFFF" w:val="clear"/>
            <w:vAlign w:val="center"/>
          </w:tcPr>
          <w:p>
            <w:pPr>
              <w:pStyle w:val="TableContents"/>
              <w:bidi w:val="0"/>
              <w:spacing w:before="0" w:after="283"/>
              <w:ind w:left="0" w:right="0" w:hanging="180"/>
              <w:jc w:val="left"/>
              <w:rPr/>
            </w:pPr>
            <w:r>
              <w:rPr/>
              <w:t>)</w:t>
            </w:r>
            <w:bookmarkStart w:id="226" w:name="xdx_406_eus-gaap--IncreaseDecreaseInAcco"/>
            <w:bookmarkEnd w:id="226"/>
          </w:p>
        </w:tc>
      </w:tr>
      <w:tr>
        <w:trPr/>
        <w:tc>
          <w:tcPr>
            <w:tcW w:w="644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(402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(554</w:t>
            </w:r>
          </w:p>
        </w:tc>
        <w:tc>
          <w:tcPr>
            <w:tcW w:w="100" w:type="dxa"/>
            <w:tcBorders/>
            <w:shd w:fill="CCEEFF" w:val="clear"/>
            <w:vAlign w:val="center"/>
          </w:tcPr>
          <w:p>
            <w:pPr>
              <w:pStyle w:val="TableContents"/>
              <w:bidi w:val="0"/>
              <w:spacing w:before="0" w:after="283"/>
              <w:ind w:left="0" w:right="0" w:hanging="180"/>
              <w:jc w:val="left"/>
              <w:rPr/>
            </w:pPr>
            <w:r>
              <w:rPr/>
              <w:t>)</w:t>
            </w:r>
            <w:bookmarkStart w:id="227" w:name="xdx_402_eus-gaap--EmployeeBenefitsAndSha"/>
            <w:bookmarkEnd w:id="227"/>
          </w:p>
        </w:tc>
      </w:tr>
      <w:tr>
        <w:trPr/>
        <w:tc>
          <w:tcPr>
            <w:tcW w:w="6446" w:type="dxa"/>
            <w:tcBorders/>
            <w:shd w:fill="FFFFFF" w:val="clear"/>
            <w:vAlign w:val="center"/>
          </w:tcPr>
          <w:p>
            <w:pPr>
              <w:pStyle w:val="TableContents"/>
              <w:bidi w:val="0"/>
              <w:spacing w:before="0" w:after="283"/>
              <w:jc w:val="left"/>
              <w:rPr/>
            </w:pPr>
            <w:r>
              <w:rPr/>
              <w:t>Accrued compensation and related benefits, current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(1,247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(571</w:t>
            </w:r>
          </w:p>
        </w:tc>
        <w:tc>
          <w:tcPr>
            <w:tcW w:w="100" w:type="dxa"/>
            <w:tcBorders/>
            <w:shd w:fill="FFFFFF" w:val="clear"/>
            <w:vAlign w:val="center"/>
          </w:tcPr>
          <w:p>
            <w:pPr>
              <w:pStyle w:val="TableContents"/>
              <w:bidi w:val="0"/>
              <w:spacing w:before="0" w:after="283"/>
              <w:ind w:left="0" w:right="0" w:hanging="180"/>
              <w:jc w:val="left"/>
              <w:rPr/>
            </w:pPr>
            <w:r>
              <w:rPr/>
              <w:t>)</w:t>
            </w:r>
            <w:bookmarkStart w:id="228" w:name="xdx_40C_eus-gaap--IncreaseDecreaseInOthe"/>
            <w:bookmarkEnd w:id="228"/>
          </w:p>
        </w:tc>
      </w:tr>
      <w:tr>
        <w:trPr/>
        <w:tc>
          <w:tcPr>
            <w:tcW w:w="6446"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613</w:t>
            </w:r>
          </w:p>
        </w:tc>
        <w:tc>
          <w:tcPr>
            <w:tcW w:w="100" w:type="dxa"/>
            <w:tcBorders/>
            <w:shd w:fill="CCEEFF" w:val="clear"/>
            <w:vAlign w:val="center"/>
          </w:tcPr>
          <w:p>
            <w:pPr>
              <w:pStyle w:val="TableContents"/>
              <w:bidi w:val="0"/>
              <w:spacing w:before="0" w:after="283"/>
              <w:ind w:left="0" w:right="0" w:hanging="180"/>
              <w:jc w:val="left"/>
              <w:rPr/>
            </w:pPr>
            <w:r>
              <w:rPr/>
              <w:t> </w:t>
            </w:r>
            <w:bookmarkStart w:id="229" w:name="xdx_40D_eus-gaap--IncreaseDecreaseInOper"/>
            <w:bookmarkEnd w:id="229"/>
          </w:p>
        </w:tc>
      </w:tr>
      <w:tr>
        <w:trPr/>
        <w:tc>
          <w:tcPr>
            <w:tcW w:w="6446"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(1,948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(661</w:t>
            </w:r>
          </w:p>
        </w:tc>
        <w:tc>
          <w:tcPr>
            <w:tcW w:w="100" w:type="dxa"/>
            <w:tcBorders/>
            <w:shd w:fill="FFFFFF" w:val="clear"/>
            <w:vAlign w:val="center"/>
          </w:tcPr>
          <w:p>
            <w:pPr>
              <w:pStyle w:val="TableContents"/>
              <w:bidi w:val="0"/>
              <w:spacing w:before="0" w:after="283"/>
              <w:ind w:left="0" w:right="0" w:hanging="180"/>
              <w:jc w:val="left"/>
              <w:rPr/>
            </w:pPr>
            <w:r>
              <w:rPr/>
              <w:t>)</w:t>
            </w:r>
            <w:bookmarkStart w:id="230" w:name="xdx_404_eus-gaap--IncreaseDecreaseInOthe"/>
            <w:bookmarkEnd w:id="230"/>
          </w:p>
        </w:tc>
      </w:tr>
      <w:tr>
        <w:trPr/>
        <w:tc>
          <w:tcPr>
            <w:tcW w:w="6446"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pPr>
            <w:r>
              <w:rPr/>
              <w:t>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pPr>
            <w:r>
              <w:rPr/>
              <w:t>103</w:t>
            </w:r>
          </w:p>
        </w:tc>
        <w:tc>
          <w:tcPr>
            <w:tcW w:w="100" w:type="dxa"/>
            <w:tcBorders/>
            <w:shd w:fill="CCEEFF" w:val="clear"/>
            <w:vAlign w:val="center"/>
          </w:tcPr>
          <w:p>
            <w:pPr>
              <w:pStyle w:val="TableContents"/>
              <w:bidi w:val="0"/>
              <w:spacing w:before="0" w:after="283"/>
              <w:ind w:left="0" w:right="0" w:hanging="180"/>
              <w:jc w:val="left"/>
              <w:rPr/>
            </w:pPr>
            <w:r>
              <w:rPr/>
              <w:t> </w:t>
            </w:r>
            <w:bookmarkStart w:id="231" w:name="xdx_400_eus-gaap--NetCashProvidedByUsedI"/>
            <w:bookmarkEnd w:id="231"/>
          </w:p>
        </w:tc>
      </w:tr>
      <w:tr>
        <w:trPr/>
        <w:tc>
          <w:tcPr>
            <w:tcW w:w="6446" w:type="dxa"/>
            <w:tcBorders/>
            <w:shd w:fill="FFFFFF" w:val="clear"/>
            <w:vAlign w:val="center"/>
          </w:tcPr>
          <w:p>
            <w:pPr>
              <w:pStyle w:val="TableContents"/>
              <w:bidi w:val="0"/>
              <w:spacing w:before="0" w:after="283"/>
              <w:jc w:val="left"/>
              <w:rPr>
                <w:b/>
              </w:rPr>
            </w:pPr>
            <w:r>
              <w:rPr>
                <w:b/>
              </w:rPr>
              <w:t>Net cash provided by / (used in) operating activities</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1,369</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64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bookmarkStart w:id="232" w:name="xdx_408_eus-gaap--NetCashProvidedByUsedI"/>
            <w:bookmarkEnd w:id="232"/>
          </w:p>
        </w:tc>
      </w:tr>
      <w:tr>
        <w:trPr/>
        <w:tc>
          <w:tcPr>
            <w:tcW w:w="6446"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bookmarkStart w:id="233" w:name="xdx_40F_eus-gaap--PaymentsToAcquirePrope"/>
            <w:bookmarkEnd w:id="233"/>
          </w:p>
        </w:tc>
      </w:tr>
      <w:tr>
        <w:trPr/>
        <w:tc>
          <w:tcPr>
            <w:tcW w:w="6446" w:type="dxa"/>
            <w:tcBorders/>
            <w:shd w:fill="CCEEFF" w:val="clear"/>
            <w:vAlign w:val="center"/>
          </w:tcPr>
          <w:p>
            <w:pPr>
              <w:pStyle w:val="TableContents"/>
              <w:bidi w:val="0"/>
              <w:spacing w:before="0" w:after="283"/>
              <w:jc w:val="left"/>
              <w:rPr/>
            </w:pPr>
            <w:r>
              <w:rPr/>
              <w:t>Acquisition of property and equipment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(259</w:t>
            </w:r>
          </w:p>
        </w:tc>
        <w:tc>
          <w:tcPr>
            <w:tcW w:w="100" w:type="dxa"/>
            <w:tcBorders/>
            <w:shd w:fill="CCEEFF" w:val="clear"/>
            <w:vAlign w:val="center"/>
          </w:tcPr>
          <w:p>
            <w:pPr>
              <w:pStyle w:val="TableContents"/>
              <w:bidi w:val="0"/>
              <w:spacing w:before="0" w:after="283"/>
              <w:ind w:left="0" w:right="0" w:hanging="180"/>
              <w:jc w:val="left"/>
              <w:rPr/>
            </w:pPr>
            <w:r>
              <w:rPr/>
              <w:t>)</w:t>
            </w:r>
            <w:bookmarkStart w:id="234" w:name="xdx_40F_eus-gaap--ProceedsFromSaleOfProp"/>
            <w:bookmarkEnd w:id="234"/>
          </w:p>
        </w:tc>
      </w:tr>
      <w:tr>
        <w:trPr/>
        <w:tc>
          <w:tcPr>
            <w:tcW w:w="6446" w:type="dxa"/>
            <w:tcBorders/>
            <w:shd w:fill="FFFFFF" w:val="clear"/>
            <w:vAlign w:val="center"/>
          </w:tcPr>
          <w:p>
            <w:pPr>
              <w:pStyle w:val="TableContents"/>
              <w:bidi w:val="0"/>
              <w:spacing w:before="0" w:after="283"/>
              <w:jc w:val="left"/>
              <w:rPr/>
            </w:pPr>
            <w:r>
              <w:rPr/>
              <w:t>Sale of property and equipment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bookmarkStart w:id="235" w:name="xdx_404_ecustom--FixedDepositsPlacedWith"/>
            <w:bookmarkEnd w:id="235"/>
          </w:p>
        </w:tc>
      </w:tr>
      <w:tr>
        <w:trPr/>
        <w:tc>
          <w:tcPr>
            <w:tcW w:w="6446" w:type="dxa"/>
            <w:tcBorders/>
            <w:shd w:fill="CCEEFF" w:val="clear"/>
            <w:vAlign w:val="center"/>
          </w:tcPr>
          <w:p>
            <w:pPr>
              <w:pStyle w:val="TableContents"/>
              <w:bidi w:val="0"/>
              <w:spacing w:before="0" w:after="283"/>
              <w:jc w:val="left"/>
              <w:rPr/>
            </w:pPr>
            <w:r>
              <w:rPr/>
              <w:t>Fixed Deposits placed with banks</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pPr>
            <w:r>
              <w:rPr/>
              <w:t>(609</w:t>
            </w:r>
          </w:p>
        </w:tc>
        <w:tc>
          <w:tcPr>
            <w:tcW w:w="100" w:type="dxa"/>
            <w:tcBorders/>
            <w:shd w:fill="CCEEFF" w:val="clear"/>
            <w:vAlign w:val="center"/>
          </w:tcPr>
          <w:p>
            <w:pPr>
              <w:pStyle w:val="TableContents"/>
              <w:bidi w:val="0"/>
              <w:spacing w:before="0" w:after="283"/>
              <w:ind w:left="0" w:right="0" w:hanging="180"/>
              <w:jc w:val="left"/>
              <w:rPr/>
            </w:pPr>
            <w:r>
              <w:rPr/>
              <w:t>)</w:t>
            </w:r>
            <w:bookmarkStart w:id="236" w:name="xdx_40F_eus-gaap--NetCashProvidedByUsedI"/>
            <w:bookmarkEnd w:id="236"/>
          </w:p>
        </w:tc>
      </w:tr>
      <w:tr>
        <w:trPr/>
        <w:tc>
          <w:tcPr>
            <w:tcW w:w="6446"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(868</w:t>
            </w:r>
          </w:p>
        </w:tc>
        <w:tc>
          <w:tcPr>
            <w:tcW w:w="100" w:type="dxa"/>
            <w:tcBorders/>
            <w:shd w:fill="FFFFFF" w:val="clear"/>
            <w:vAlign w:val="center"/>
          </w:tcPr>
          <w:p>
            <w:pPr>
              <w:pStyle w:val="TableContents"/>
              <w:bidi w:val="0"/>
              <w:spacing w:before="0" w:after="283"/>
              <w:ind w:left="0" w:right="0" w:hanging="180"/>
              <w:jc w:val="left"/>
              <w:rPr>
                <w:b/>
              </w:rPr>
            </w:pPr>
            <w:r>
              <w:rPr>
                <w:b/>
              </w:rPr>
              <w:t>)</w:t>
            </w:r>
          </w:p>
        </w:tc>
      </w:tr>
      <w:tr>
        <w:trPr/>
        <w:tc>
          <w:tcPr>
            <w:tcW w:w="64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bookmarkStart w:id="237" w:name="xdx_40A_eus-gaap--NetCashProvidedByUsedI"/>
            <w:bookmarkEnd w:id="237"/>
          </w:p>
        </w:tc>
      </w:tr>
      <w:tr>
        <w:trPr/>
        <w:tc>
          <w:tcPr>
            <w:tcW w:w="6446"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bookmarkStart w:id="238" w:name="xdx_406_eus-gaap--ProceedsFromRepayments"/>
            <w:bookmarkEnd w:id="238"/>
          </w:p>
        </w:tc>
      </w:tr>
      <w:tr>
        <w:trPr/>
        <w:tc>
          <w:tcPr>
            <w:tcW w:w="6446" w:type="dxa"/>
            <w:tcBorders/>
            <w:shd w:fill="CCEEFF" w:val="clear"/>
            <w:vAlign w:val="center"/>
          </w:tcPr>
          <w:p>
            <w:pPr>
              <w:pStyle w:val="TableContents"/>
              <w:bidi w:val="0"/>
              <w:spacing w:before="0" w:after="283"/>
              <w:jc w:val="left"/>
              <w:rPr/>
            </w:pPr>
            <w:r>
              <w:rPr/>
              <w:t>Net repayment of short-term borrowings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(1,110</w:t>
            </w:r>
          </w:p>
        </w:tc>
        <w:tc>
          <w:tcPr>
            <w:tcW w:w="100" w:type="dxa"/>
            <w:tcBorders/>
            <w:shd w:fill="CCEEFF" w:val="clear"/>
            <w:vAlign w:val="center"/>
          </w:tcPr>
          <w:p>
            <w:pPr>
              <w:pStyle w:val="TableContents"/>
              <w:bidi w:val="0"/>
              <w:spacing w:before="0" w:after="283"/>
              <w:ind w:left="0" w:right="0" w:hanging="180"/>
              <w:jc w:val="left"/>
              <w:rPr/>
            </w:pPr>
            <w:r>
              <w:rPr/>
              <w:t>)</w:t>
            </w:r>
            <w:bookmarkStart w:id="239" w:name="xdx_405_eus-gaap--PaymentsOfFinancingCos"/>
            <w:bookmarkEnd w:id="239"/>
          </w:p>
        </w:tc>
      </w:tr>
      <w:tr>
        <w:trPr/>
        <w:tc>
          <w:tcPr>
            <w:tcW w:w="6446" w:type="dxa"/>
            <w:tcBorders/>
            <w:shd w:fill="FFFFFF" w:val="clear"/>
            <w:vAlign w:val="center"/>
          </w:tcPr>
          <w:p>
            <w:pPr>
              <w:pStyle w:val="TableContents"/>
              <w:bidi w:val="0"/>
              <w:spacing w:before="0" w:after="283"/>
              <w:jc w:val="left"/>
              <w:rPr/>
            </w:pPr>
            <w:r>
              <w:rPr/>
              <w:t>Payment of promissory note liability</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bookmarkStart w:id="240" w:name="xdx_409_eus-gaap--RepaymentsOfNotesPayab"/>
            <w:bookmarkEnd w:id="240"/>
          </w:p>
        </w:tc>
      </w:tr>
      <w:tr>
        <w:trPr/>
        <w:tc>
          <w:tcPr>
            <w:tcW w:w="6446" w:type="dxa"/>
            <w:tcBorders/>
            <w:shd w:fill="CCEEFF" w:val="clear"/>
            <w:vAlign w:val="center"/>
          </w:tcPr>
          <w:p>
            <w:pPr>
              <w:pStyle w:val="TableContents"/>
              <w:bidi w:val="0"/>
              <w:spacing w:before="0" w:after="283"/>
              <w:jc w:val="left"/>
              <w:rPr/>
            </w:pPr>
            <w:r>
              <w:rPr/>
              <w:t>Repayment of long-term debt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(6</w:t>
            </w:r>
          </w:p>
        </w:tc>
        <w:tc>
          <w:tcPr>
            <w:tcW w:w="100" w:type="dxa"/>
            <w:tcBorders/>
            <w:shd w:fill="CCEEFF" w:val="clear"/>
            <w:vAlign w:val="center"/>
          </w:tcPr>
          <w:p>
            <w:pPr>
              <w:pStyle w:val="TableContents"/>
              <w:bidi w:val="0"/>
              <w:spacing w:before="0" w:after="283"/>
              <w:ind w:left="0" w:right="0" w:hanging="180"/>
              <w:jc w:val="left"/>
              <w:rPr/>
            </w:pPr>
            <w:r>
              <w:rPr/>
              <w:t>)</w:t>
            </w:r>
            <w:bookmarkStart w:id="241" w:name="xdx_40E_eus-gaap--RepaymentsOfLongTermDe"/>
            <w:bookmarkEnd w:id="241"/>
          </w:p>
        </w:tc>
      </w:tr>
      <w:tr>
        <w:trPr/>
        <w:tc>
          <w:tcPr>
            <w:tcW w:w="6446" w:type="dxa"/>
            <w:tcBorders/>
            <w:shd w:fill="FFFFFF" w:val="clear"/>
            <w:vAlign w:val="center"/>
          </w:tcPr>
          <w:p>
            <w:pPr>
              <w:pStyle w:val="TableContents"/>
              <w:bidi w:val="0"/>
              <w:spacing w:before="0" w:after="283"/>
              <w:jc w:val="left"/>
              <w:rPr/>
            </w:pPr>
            <w:r>
              <w:rPr/>
              <w:t>Payment of finance lease obligations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(32</w:t>
            </w:r>
          </w:p>
        </w:tc>
        <w:tc>
          <w:tcPr>
            <w:tcW w:w="100" w:type="dxa"/>
            <w:tcBorders/>
            <w:shd w:fill="FFFFFF" w:val="clear"/>
            <w:vAlign w:val="center"/>
          </w:tcPr>
          <w:p>
            <w:pPr>
              <w:pStyle w:val="TableContents"/>
              <w:bidi w:val="0"/>
              <w:spacing w:before="0" w:after="283"/>
              <w:ind w:left="0" w:right="0" w:hanging="180"/>
              <w:jc w:val="left"/>
              <w:rPr/>
            </w:pPr>
            <w:r>
              <w:rPr/>
              <w:t>)</w:t>
            </w:r>
            <w:bookmarkStart w:id="242" w:name="xdx_40C_ecustom--PaymentOfFpaLiabilities"/>
            <w:bookmarkEnd w:id="242"/>
          </w:p>
        </w:tc>
      </w:tr>
      <w:tr>
        <w:trPr/>
        <w:tc>
          <w:tcPr>
            <w:tcW w:w="6446" w:type="dxa"/>
            <w:tcBorders/>
            <w:shd w:fill="CCEEFF" w:val="clear"/>
            <w:vAlign w:val="center"/>
          </w:tcPr>
          <w:p>
            <w:pPr>
              <w:pStyle w:val="TableContents"/>
              <w:bidi w:val="0"/>
              <w:spacing w:before="0" w:after="283"/>
              <w:jc w:val="left"/>
              <w:rPr/>
            </w:pPr>
            <w:r>
              <w:rPr/>
              <w:t>Payment of FPA liabilities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bookmarkStart w:id="243" w:name="xdx_402_ecustom--PaymentForPurchaseOfTre"/>
            <w:bookmarkEnd w:id="243"/>
          </w:p>
        </w:tc>
      </w:tr>
      <w:tr>
        <w:trPr/>
        <w:tc>
          <w:tcPr>
            <w:tcW w:w="6446" w:type="dxa"/>
            <w:tcBorders/>
            <w:shd w:fill="FFFFFF" w:val="clear"/>
            <w:vAlign w:val="center"/>
          </w:tcPr>
          <w:p>
            <w:pPr>
              <w:pStyle w:val="TableContents"/>
              <w:bidi w:val="0"/>
              <w:spacing w:before="0" w:after="283"/>
              <w:jc w:val="left"/>
              <w:rPr/>
            </w:pPr>
            <w:r>
              <w:rPr/>
              <w:t>Payment for purchase of treasury shares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(2,157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bookmarkStart w:id="244" w:name="xdx_406_ecustom--PurchaseOfAdditionalOwn"/>
            <w:bookmarkEnd w:id="244"/>
          </w:p>
        </w:tc>
      </w:tr>
      <w:tr>
        <w:trPr/>
        <w:tc>
          <w:tcPr>
            <w:tcW w:w="6446" w:type="dxa"/>
            <w:tcBorders/>
            <w:shd w:fill="CCEEFF" w:val="clear"/>
            <w:vAlign w:val="center"/>
          </w:tcPr>
          <w:p>
            <w:pPr>
              <w:pStyle w:val="TableContents"/>
              <w:bidi w:val="0"/>
              <w:spacing w:before="0" w:after="283"/>
              <w:jc w:val="left"/>
              <w:rPr/>
            </w:pPr>
            <w:r>
              <w:rPr/>
              <w:t>Purchase of additional ownership interest in subsidiary</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bookmarkStart w:id="245" w:name="xdx_405_eus-gaap--NetCashProvidedByUsedI"/>
            <w:bookmarkEnd w:id="245"/>
          </w:p>
        </w:tc>
      </w:tr>
      <w:tr>
        <w:trPr/>
        <w:tc>
          <w:tcPr>
            <w:tcW w:w="6446" w:type="dxa"/>
            <w:tcBorders/>
            <w:shd w:fill="FFFFFF" w:val="clear"/>
            <w:vAlign w:val="center"/>
          </w:tcPr>
          <w:p>
            <w:pPr>
              <w:pStyle w:val="TableContents"/>
              <w:bidi w:val="0"/>
              <w:spacing w:before="0" w:after="283"/>
              <w:jc w:val="left"/>
              <w:rPr>
                <w:b/>
              </w:rPr>
            </w:pPr>
            <w:r>
              <w:rPr>
                <w:b/>
              </w:rPr>
              <w:t>Net cash (used in) / provided by financing activities</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(1,148</w:t>
            </w:r>
          </w:p>
        </w:tc>
        <w:tc>
          <w:tcPr>
            <w:tcW w:w="100" w:type="dxa"/>
            <w:tcBorders/>
            <w:shd w:fill="FFFFFF" w:val="clear"/>
            <w:vAlign w:val="center"/>
          </w:tcPr>
          <w:p>
            <w:pPr>
              <w:pStyle w:val="TableContents"/>
              <w:bidi w:val="0"/>
              <w:spacing w:before="0" w:after="283"/>
              <w:ind w:left="0" w:right="0" w:hanging="180"/>
              <w:jc w:val="left"/>
              <w:rPr>
                <w:b/>
              </w:rPr>
            </w:pPr>
            <w:r>
              <w:rPr>
                <w:b/>
              </w:rPr>
              <w:t>)</w:t>
            </w:r>
            <w:bookmarkStart w:id="246" w:name="xdx_40A_eus-gaap--EffectOfExchangeRateOn"/>
            <w:bookmarkEnd w:id="246"/>
          </w:p>
        </w:tc>
      </w:tr>
      <w:tr>
        <w:trPr/>
        <w:tc>
          <w:tcPr>
            <w:tcW w:w="6446"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00" w:type="dxa"/>
            <w:tcBorders/>
            <w:shd w:fill="CCEEFF" w:val="clear"/>
            <w:vAlign w:val="center"/>
          </w:tcPr>
          <w:p>
            <w:pPr>
              <w:pStyle w:val="TableContents"/>
              <w:bidi w:val="0"/>
              <w:spacing w:before="0" w:after="283"/>
              <w:ind w:left="0" w:right="0" w:hanging="180"/>
              <w:jc w:val="left"/>
              <w:rPr/>
            </w:pPr>
            <w:r>
              <w:rPr/>
              <w:t> </w:t>
            </w:r>
            <w:bookmarkStart w:id="247" w:name="xdx_401_eus-gaap--CashCashEquivalentsRes"/>
            <w:bookmarkEnd w:id="247"/>
          </w:p>
        </w:tc>
      </w:tr>
      <w:tr>
        <w:trPr/>
        <w:tc>
          <w:tcPr>
            <w:tcW w:w="6446" w:type="dxa"/>
            <w:tcBorders/>
            <w:shd w:fill="FFFFFF" w:val="clear"/>
            <w:vAlign w:val="center"/>
          </w:tcPr>
          <w:p>
            <w:pPr>
              <w:pStyle w:val="TableContents"/>
              <w:bidi w:val="0"/>
              <w:spacing w:before="0" w:after="283"/>
              <w:jc w:val="left"/>
              <w:rPr>
                <w:b/>
              </w:rPr>
            </w:pPr>
            <w:r>
              <w:rPr>
                <w:b/>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b/>
              </w:rPr>
            </w:pPr>
            <w:r>
              <w:rPr>
                <w:b/>
              </w:rPr>
              <w:t>1,191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b/>
              </w:rPr>
            </w:pPr>
            <w:r>
              <w:rPr>
                <w:b/>
              </w:rPr>
              <w:t>(627</w:t>
            </w:r>
          </w:p>
        </w:tc>
        <w:tc>
          <w:tcPr>
            <w:tcW w:w="100" w:type="dxa"/>
            <w:tcBorders/>
            <w:shd w:fill="FFFFFF" w:val="clear"/>
            <w:vAlign w:val="center"/>
          </w:tcPr>
          <w:p>
            <w:pPr>
              <w:pStyle w:val="TableContents"/>
              <w:bidi w:val="0"/>
              <w:spacing w:before="0" w:after="283"/>
              <w:ind w:left="0" w:right="0" w:hanging="180"/>
              <w:jc w:val="left"/>
              <w:rPr>
                <w:b/>
              </w:rPr>
            </w:pPr>
            <w:r>
              <w:rPr>
                <w:b/>
              </w:rPr>
              <w:t>)</w:t>
            </w:r>
            <w:bookmarkStart w:id="248" w:name="xdx_402_eus-gaap--CashCashEquivalentsRes"/>
            <w:bookmarkEnd w:id="248"/>
          </w:p>
        </w:tc>
      </w:tr>
      <w:tr>
        <w:trPr/>
        <w:tc>
          <w:tcPr>
            <w:tcW w:w="6446" w:type="dxa"/>
            <w:tcBorders/>
            <w:shd w:fill="CCEEFF" w:val="clear"/>
            <w:vAlign w:val="center"/>
          </w:tcPr>
          <w:p>
            <w:pPr>
              <w:pStyle w:val="TableContents"/>
              <w:bidi w:val="0"/>
              <w:spacing w:before="0" w:after="283"/>
              <w:jc w:val="left"/>
              <w:rPr>
                <w:b/>
              </w:rPr>
            </w:pPr>
            <w:r>
              <w:rPr>
                <w:b/>
              </w:rPr>
              <w:t>Cash and cash equivalents at the beginning of the period</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2,764</w:t>
            </w:r>
          </w:p>
        </w:tc>
        <w:tc>
          <w:tcPr>
            <w:tcW w:w="100" w:type="dxa"/>
            <w:tcBorders/>
            <w:shd w:fill="CCEEFF" w:val="clear"/>
            <w:vAlign w:val="center"/>
          </w:tcPr>
          <w:p>
            <w:pPr>
              <w:pStyle w:val="TableContents"/>
              <w:bidi w:val="0"/>
              <w:spacing w:before="0" w:after="283"/>
              <w:ind w:left="0" w:right="0" w:hanging="180"/>
              <w:jc w:val="left"/>
              <w:rPr/>
            </w:pPr>
            <w:r>
              <w:rPr/>
              <w:t> </w:t>
            </w:r>
            <w:bookmarkStart w:id="249" w:name="xdx_404_eus-gaap--CashCashEquivalentsRes"/>
            <w:bookmarkEnd w:id="249"/>
          </w:p>
        </w:tc>
      </w:tr>
      <w:tr>
        <w:trPr/>
        <w:tc>
          <w:tcPr>
            <w:tcW w:w="6446" w:type="dxa"/>
            <w:tcBorders/>
            <w:shd w:fill="FFFFFF" w:val="clear"/>
            <w:vAlign w:val="center"/>
          </w:tcPr>
          <w:p>
            <w:pPr>
              <w:pStyle w:val="TableContents"/>
              <w:bidi w:val="0"/>
              <w:spacing w:before="0" w:after="283"/>
              <w:jc w:val="left"/>
              <w:rPr>
                <w:b/>
              </w:rPr>
            </w:pPr>
            <w:r>
              <w:rPr>
                <w:b/>
              </w:rPr>
              <w:t>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2,137</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64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bookmarkStart w:id="250" w:name="xdx_40E_eus-gaap--SupplementalCashFlowIn"/>
            <w:bookmarkEnd w:id="250"/>
          </w:p>
        </w:tc>
      </w:tr>
      <w:tr>
        <w:trPr/>
        <w:tc>
          <w:tcPr>
            <w:tcW w:w="6446" w:type="dxa"/>
            <w:tcBorders/>
            <w:shd w:fill="FFFFFF" w:val="clear"/>
            <w:vAlign w:val="center"/>
          </w:tcPr>
          <w:p>
            <w:pPr>
              <w:pStyle w:val="TableContents"/>
              <w:bidi w:val="0"/>
              <w:spacing w:before="0" w:after="283"/>
              <w:jc w:val="left"/>
              <w:rPr>
                <w:b/>
              </w:rPr>
            </w:pPr>
            <w:r>
              <w:rPr>
                <w:b/>
              </w:rPr>
              <w:t>Supplemental cash flow disclosure:</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bookmarkStart w:id="251" w:name="xdx_408_eus-gaap--InterestPaidNet_zIjTul"/>
            <w:bookmarkEnd w:id="251"/>
          </w:p>
        </w:tc>
      </w:tr>
      <w:tr>
        <w:trPr/>
        <w:tc>
          <w:tcPr>
            <w:tcW w:w="6446"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411" w:type="dxa"/>
            <w:tcBorders/>
            <w:shd w:fill="CCEEFF" w:val="clear"/>
            <w:vAlign w:val="center"/>
          </w:tcPr>
          <w:p>
            <w:pPr>
              <w:pStyle w:val="TableContents"/>
              <w:bidi w:val="0"/>
              <w:spacing w:before="0" w:after="283"/>
              <w:jc w:val="right"/>
              <w:rPr/>
            </w:pPr>
            <w:r>
              <w:rPr/>
              <w:t>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411" w:type="dxa"/>
            <w:tcBorders/>
            <w:shd w:fill="CCEEFF" w:val="clear"/>
            <w:vAlign w:val="center"/>
          </w:tcPr>
          <w:p>
            <w:pPr>
              <w:pStyle w:val="TableContents"/>
              <w:bidi w:val="0"/>
              <w:spacing w:before="0" w:after="283"/>
              <w:jc w:val="right"/>
              <w:rPr/>
            </w:pPr>
            <w:r>
              <w:rPr/>
              <w:t>110</w:t>
            </w:r>
          </w:p>
        </w:tc>
        <w:tc>
          <w:tcPr>
            <w:tcW w:w="100" w:type="dxa"/>
            <w:tcBorders/>
            <w:shd w:fill="CCEEFF" w:val="clear"/>
            <w:vAlign w:val="center"/>
          </w:tcPr>
          <w:p>
            <w:pPr>
              <w:pStyle w:val="TableContents"/>
              <w:bidi w:val="0"/>
              <w:spacing w:before="0" w:after="283"/>
              <w:ind w:left="0" w:right="0" w:hanging="180"/>
              <w:jc w:val="left"/>
              <w:rPr/>
            </w:pPr>
            <w:r>
              <w:rPr/>
              <w:t> </w:t>
            </w:r>
            <w:bookmarkStart w:id="252" w:name="xdx_402_eus-gaap--IncomeTaxesPaidNet_zVp"/>
            <w:bookmarkEnd w:id="252"/>
          </w:p>
        </w:tc>
      </w:tr>
      <w:tr>
        <w:trPr/>
        <w:tc>
          <w:tcPr>
            <w:tcW w:w="6446" w:type="dxa"/>
            <w:tcBorders/>
            <w:shd w:fill="FFFFFF" w:val="clear"/>
            <w:vAlign w:val="center"/>
          </w:tcPr>
          <w:p>
            <w:pPr>
              <w:pStyle w:val="TableContents"/>
              <w:bidi w:val="0"/>
              <w:spacing w:before="0" w:after="283"/>
              <w:jc w:val="left"/>
              <w:rPr/>
            </w:pPr>
            <w:r>
              <w:rPr/>
              <w:t>Cash paid for income taxes, net of refunds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77</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64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bookmarkStart w:id="253" w:name="xdx_408_eus-gaap--CashFlowNoncashInvesti"/>
            <w:bookmarkEnd w:id="253"/>
          </w:p>
        </w:tc>
      </w:tr>
      <w:tr>
        <w:trPr/>
        <w:tc>
          <w:tcPr>
            <w:tcW w:w="6446"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bookmarkStart w:id="254" w:name="xdx_40F_ecustom--EquipmentAcquiredUnderF"/>
            <w:bookmarkEnd w:id="254"/>
          </w:p>
        </w:tc>
      </w:tr>
      <w:tr>
        <w:trPr/>
        <w:tc>
          <w:tcPr>
            <w:tcW w:w="6446" w:type="dxa"/>
            <w:tcBorders/>
            <w:shd w:fill="CCEEFF" w:val="clear"/>
            <w:vAlign w:val="center"/>
          </w:tcPr>
          <w:p>
            <w:pPr>
              <w:pStyle w:val="TableContents"/>
              <w:bidi w:val="0"/>
              <w:spacing w:before="0" w:after="283"/>
              <w:jc w:val="left"/>
              <w:rPr/>
            </w:pPr>
            <w:r>
              <w:rPr/>
              <w:t>Equipment acquired under finance lease obligations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411"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411" w:type="dxa"/>
            <w:tcBorders/>
            <w:shd w:fill="CCEEFF" w:val="clear"/>
            <w:vAlign w:val="center"/>
          </w:tcPr>
          <w:p>
            <w:pPr>
              <w:pStyle w:val="TableContents"/>
              <w:bidi w:val="0"/>
              <w:spacing w:before="0" w:after="283"/>
              <w:jc w:val="right"/>
              <w:rPr/>
            </w:pPr>
            <w:r>
              <w:rPr/>
              <w:t>31</w:t>
            </w:r>
          </w:p>
        </w:tc>
        <w:tc>
          <w:tcPr>
            <w:tcW w:w="10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55" w:name="a_008"/>
      <w:bookmarkEnd w:id="255"/>
      <w:r>
        <w:rPr>
          <w:rFonts w:ascii="Times New Roman;Times;Serif" w:hAnsi="Times New Roman;Times;Serif"/>
          <w:b/>
          <w:i w:val="false"/>
          <w:caps w:val="false"/>
          <w:smallCaps w:val="false"/>
          <w:sz w:val="20"/>
        </w:rPr>
        <w:t>AERIES TECHNOLOGY, INC. AND SUBSIDIARIES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r>
        <w:rPr>
          <w:rFonts w:ascii="Times New Roman;Times;Serif" w:hAnsi="Times New Roman;Times;Serif"/>
          <w:b w:val="false"/>
          <w:i w:val="false"/>
          <w:caps w:val="false"/>
          <w:smallCaps w:val="false"/>
          <w:sz w:val="20"/>
        </w:rPr>
        <w:br/>
        <w:t>(in thousands of United States dollars except share and per share amounts)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6" w:name="xdx_80B_eus-gaap--NatureOfOperations_zNo"/>
      <w:bookmarkEnd w:id="256"/>
      <w:r>
        <w:rPr>
          <w:rFonts w:ascii="Times New Roman;Times;Serif" w:hAnsi="Times New Roman;Times;Serif"/>
          <w:b/>
          <w:i w:val="false"/>
          <w:caps w:val="false"/>
          <w:smallCaps w:val="false"/>
          <w:sz w:val="20"/>
        </w:rPr>
        <w:t xml:space="preserve">Note 1 - </w:t>
      </w:r>
      <w:bookmarkStart w:id="257" w:name="xdx_82E_zJtTNxhYpaK3"/>
      <w:bookmarkEnd w:id="257"/>
      <w:r>
        <w:rPr>
          <w:rFonts w:ascii="Times New Roman;Times;Serif" w:hAnsi="Times New Roman;Times;Serif"/>
          <w:b/>
          <w:i w:val="false"/>
          <w:caps w:val="false"/>
          <w:smallCaps w:val="false"/>
          <w:sz w:val="20"/>
        </w:rPr>
        <w:t>Nature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Aeries Technology, Inc. and its subsidiaries, is herein referred to as the “Company,” “ATI,” “us,” “we” and “our” in these condensed consolidated financial statements. The Company is a global leader in AI enabled value creation, business transformation, and Global Capability Center (GCC) delivery for private equity (PE) portfolio companies, supporting scalable, technology driven execution. Founded in 2012, its commitment to workforce development has earned it the Great Place to Work Certification for two consecutive years. The Company has subsidiaries in India, Mexico, Singapore and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8" w:name="xdx_809_eus-gaap--SignificantAccountingP"/>
      <w:bookmarkEnd w:id="258"/>
      <w:r>
        <w:rPr>
          <w:rFonts w:ascii="Times New Roman;Times;Serif" w:hAnsi="Times New Roman;Times;Serif"/>
          <w:b/>
          <w:i w:val="false"/>
          <w:caps w:val="false"/>
          <w:smallCaps w:val="false"/>
          <w:sz w:val="20"/>
        </w:rPr>
        <w:t xml:space="preserve">Note 2 - </w:t>
      </w:r>
      <w:bookmarkStart w:id="259" w:name="xdx_82C_zaatvVUBH6j4"/>
      <w:bookmarkEnd w:id="259"/>
      <w:r>
        <w:rPr>
          <w:rFonts w:ascii="Times New Roman;Times;Serif" w:hAnsi="Times New Roman;Times;Serif"/>
          <w:b/>
          <w:i w:val="false"/>
          <w:caps w:val="false"/>
          <w:smallCaps w:val="false"/>
          <w:sz w:val="20"/>
        </w:rPr>
        <w:t>Summary of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60" w:name="xdx_86F_zO4S7ZdpLovh"/>
      <w:bookmarkStart w:id="261" w:name="xdx_842_eus-gaap--BasisOfAccountingPolic"/>
      <w:bookmarkEnd w:id="260"/>
      <w:bookmarkEnd w:id="261"/>
      <w:r>
        <w:rPr>
          <w:rFonts w:ascii="Times New Roman;Times;Serif" w:hAnsi="Times New Roman;Times;Serif"/>
          <w:b/>
          <w:i w:val="false"/>
          <w:caps w:val="false"/>
          <w:smallCaps w:val="false"/>
          <w:sz w:val="20"/>
        </w:rPr>
        <w:t>Basis of Preparation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below supplements the Significant Accounting Policies information presented in the annual report on Form 10-K for the year ended March 31, 2026. There have been no changes in accounting policies during the three months ended June 30, 2026, from those disclosed in the annual consolidated financial statements and related notes for the year ended March 31, 2026, except for those described below and also as described in “Recently Adopted Accounting Pronouncements”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balances and transactions have been eliminated in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62" w:name="xdx_86B_zdkpXB7iUwJc"/>
      <w:bookmarkStart w:id="263" w:name="xdx_841_ecustom--EmergingGrowthCompanyPo"/>
      <w:bookmarkEnd w:id="262"/>
      <w:bookmarkEnd w:id="263"/>
      <w:r>
        <w:rPr>
          <w:rFonts w:ascii="Times New Roman;Times;Serif" w:hAnsi="Times New Roman;Times;Serif"/>
          <w:b/>
          <w:i w:val="false"/>
          <w:caps w:val="false"/>
          <w:smallCaps w:val="false"/>
          <w:sz w:val="20"/>
        </w:rPr>
        <w:t>Emerging Growth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pPr>
      <w:r>
        <w:rPr/>
        <w:t> </w:t>
      </w:r>
    </w:p>
    <w:p>
      <w:pPr>
        <w:pStyle w:val="TextBody"/>
        <w:bidi w:val="0"/>
        <w:jc w:val="left"/>
        <w:rPr>
          <w:caps w:val="false"/>
          <w:smallCaps w:val="false"/>
        </w:rPr>
      </w:pPr>
      <w:bookmarkStart w:id="264" w:name="xdx_234_z1p8kZslRHB5"/>
      <w:bookmarkEnd w:id="264"/>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65" w:name="xdx_863_z10E9n7shOik"/>
      <w:bookmarkStart w:id="266" w:name="xdx_84C_ecustom--AmendmentsToArticlesOfI"/>
      <w:bookmarkEnd w:id="265"/>
      <w:bookmarkEnd w:id="266"/>
      <w:r>
        <w:rPr>
          <w:rFonts w:ascii="Times New Roman;Times;Serif" w:hAnsi="Times New Roman;Times;Serif"/>
          <w:b/>
          <w:i w:val="false"/>
          <w:caps w:val="false"/>
          <w:smallCaps w:val="false"/>
          <w:sz w:val="20"/>
        </w:rPr>
        <w:t>Amendments to Articles of Incorporation or Bylaws and Share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2026 Annual General Meeting held on March 3, 2026, the Company’s shareholders approved a proposal authorizing the Company’s Board of Directors (the “Board”) to effect a consolidation of the Company’s authorized and issued Class A ordinary shares at a ratio of up to one-for-ten (1:10), with the exact ratio and timing to be determined by the Board in its sole discretion. Pursuant to such authorization, the Board approved a one-for-eight (1:8) share consolidation (the “Share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2026, the Company filed its Third Amended and Restated Memorandum and Articles of Association (“A&amp;R Articles”) with the Registrar of Companies in the Cayman Islands to effect the Share Consolidation. The Share Consolidation became effective at 12:01 a.m., Eastern Time, on June 12, 2026 (the “Effective Time”). The Company’s Class A ordinary shares began trading on a split-adjusted basis on Nasdaq at the commencement of trading on June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Share Consolidation, every eight (8) Class A ordinary shares of the Company issued and outstanding immediately prior to the Effective Time were automatically combined and converted into one (1) Class A ordinary share. The Share Consolidation reduced the number of issued and outstanding Class A ordinary shares from approximately 45,914,789 shares to approximately </w:t>
      </w:r>
      <w:bookmarkStart w:id="267" w:name="xdx_90D_eus-gaap--CommonStockSharesOutst"/>
      <w:bookmarkStart w:id="268" w:name="xdx_90A_eus-gaap--CommonStockSharesIssue"/>
      <w:bookmarkEnd w:id="267"/>
      <w:bookmarkEnd w:id="268"/>
      <w:r>
        <w:rPr>
          <w:rFonts w:ascii="Times New Roman;Times;Serif" w:hAnsi="Times New Roman;Times;Serif"/>
          <w:b w:val="false"/>
          <w:i w:val="false"/>
          <w:caps w:val="false"/>
          <w:smallCaps w:val="false"/>
          <w:sz w:val="20"/>
        </w:rPr>
        <w:t xml:space="preserve">5,739,349 shares. The total authorized number of Class A ordinary shares were correspondingly reduced from 500,000,000 with a par value of $0.0001 per share to </w:t>
      </w:r>
      <w:bookmarkStart w:id="269" w:name="xdx_907_eus-gaap--CommonStockSharesAutho"/>
      <w:bookmarkEnd w:id="269"/>
      <w:r>
        <w:rPr>
          <w:rFonts w:ascii="Times New Roman;Times;Serif" w:hAnsi="Times New Roman;Times;Serif"/>
          <w:b w:val="false"/>
          <w:i w:val="false"/>
          <w:caps w:val="false"/>
          <w:smallCaps w:val="false"/>
          <w:sz w:val="20"/>
        </w:rPr>
        <w:t>62,500,000 with a par value of $</w:t>
      </w:r>
      <w:bookmarkStart w:id="270" w:name="xdx_90C_eus-gaap--CommonStockParOrStated"/>
      <w:bookmarkEnd w:id="270"/>
      <w:r>
        <w:rPr>
          <w:rFonts w:ascii="Times New Roman;Times;Serif" w:hAnsi="Times New Roman;Times;Serif"/>
          <w:b w:val="false"/>
          <w:i w:val="false"/>
          <w:caps w:val="false"/>
          <w:smallCaps w:val="false"/>
          <w:sz w:val="20"/>
        </w:rPr>
        <w:t>0.0008 per share. No fractional shares were issued in connection with the Share Consolidation, and any fractional shares resulting from the Share Consolidation were rounded up to the nearest whole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Share Consolidation, on June 12, 2026, the Company issued a notice (the “Warrant Adjustment Notice”) to holders of its warrants. In the Warrant Adjustment Notice, the Company notified Warrant holders that the Company has made the following adjustments to its outstanding Warrants, effective after the close of trading on June 11, 2026, as reflected in the Warrants upon the commencement of trading on June 12,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The number of Class A ordinary shares issuable upon the exercise of each Warrant was proportionally adjusted to reflect the Share Consolidation, such that each Warrant now represents the right to purchase one eighth of a Class A ordinary share, subject to the aggregation provisions of the warrant agreement dated October 19, 2021, by and between Worldwide Webb Acquisition Corp. (“WWAC”) and Continental Stock Transfer &amp; Trust Company, as warrant agent (the “Warrant Agreement”);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The exercise price of each post-Share Consolidation Warrant to purchase one whole post-Share Consolidation Class A ordinary share was proportionately increased eight-fold (relative to a pre-Share Consolidation Warrant to purchase one pre-Share Consolidation Class A ordinary share), to $92.00 per post-Share Consolidation Class A ordinary share.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Proportionate adjustments were made to the per-share exercise price and/or the number of shares subject to all then-outstanding stock options and other equity awards (collectively, the “Equity Awards”), which resulted in a proportional decrease in the number of shares of the Company’s Class A ordinary shares reserved for issuance upon exercise or settlement of such Equity Awards. All share and per-share amounts in the Company’s condensed consolidated financial statements in this Form 10-Q and the notes thereto have been retroactively adjusted to reflect the Share Consolidation for all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71" w:name="xdx_863_zoRmyJQaLXKi"/>
      <w:bookmarkStart w:id="272" w:name="xdx_842_ecustom--GoingConcernPolicyTextB"/>
      <w:bookmarkEnd w:id="271"/>
      <w:bookmarkEnd w:id="272"/>
      <w:r>
        <w:rPr>
          <w:rFonts w:ascii="Times New Roman;Times;Serif" w:hAnsi="Times New Roman;Times;Serif"/>
          <w:b/>
          <w:i w:val="false"/>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responsibility to evaluate whether conditions and/or events raise substantial doubt about its ability to meet its obligations as they become due within one year after the date that the financial statements are issued. Management’s evaluation does not initially take into consideration the potential mitigating effects of management’s plans that have not been fully implemented as of the date the financial statements are issued. The accompanying financial statements have been prepared assuming that the Company will continue as a going concern.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this evaluation, the Company identified the following conditions that raised substantial doubt about its ability to continue as a going concern: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working capital deficit of $</w:t>
            </w:r>
            <w:bookmarkStart w:id="273" w:name="xdx_90A_ecustom--WorkingCapitalDeficit_i"/>
            <w:bookmarkEnd w:id="273"/>
            <w:r>
              <w:rPr>
                <w:rFonts w:ascii="Times New Roman;Times;Serif" w:hAnsi="Times New Roman;Times;Serif"/>
                <w:b w:val="false"/>
                <w:i w:val="false"/>
                <w:caps w:val="false"/>
                <w:smallCaps w:val="false"/>
                <w:sz w:val="20"/>
              </w:rPr>
              <w:t>4,432, primarily due to current liabilities related to the FPAs (as defined below) of $</w:t>
            </w:r>
            <w:bookmarkStart w:id="274" w:name="xdx_90D_ecustom--CurrentLiabilitiesRelat"/>
            <w:bookmarkEnd w:id="274"/>
            <w:r>
              <w:rPr>
                <w:rFonts w:ascii="Times New Roman;Times;Serif" w:hAnsi="Times New Roman;Times;Serif"/>
                <w:b w:val="false"/>
                <w:i w:val="false"/>
                <w:caps w:val="false"/>
                <w:smallCaps w:val="false"/>
                <w:sz w:val="20"/>
              </w:rPr>
              <w:t>4,068, short term borrowings of $</w:t>
            </w:r>
            <w:bookmarkStart w:id="275" w:name="xdx_909_eus-gaap--ShortTermBorrowings_iI"/>
            <w:bookmarkEnd w:id="275"/>
            <w:r>
              <w:rPr>
                <w:rFonts w:ascii="Times New Roman;Times;Serif" w:hAnsi="Times New Roman;Times;Serif"/>
                <w:b w:val="false"/>
                <w:i w:val="false"/>
                <w:caps w:val="false"/>
                <w:smallCaps w:val="false"/>
                <w:sz w:val="20"/>
              </w:rPr>
              <w:t>3,275 and remaining due to other current liabilities such as accrued compensation benefits and other accruals.</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FPAs were liquidity arrangements entered into as part of the Business Combination consummated as of November 6, 2023 (“Closing Date”). Under these liquidity arrangements, certain investors agreed not to redeem their holdings in WWAC in exchange for the Company entering into the FPAs. As of June 30, 2026, the remaining balance owed to the FPA holders (as defined below) is $</w:t>
      </w:r>
      <w:bookmarkStart w:id="276" w:name="xdx_90D_ecustom--CurrentLiabilitiesRelat"/>
      <w:bookmarkEnd w:id="276"/>
      <w:r>
        <w:rPr>
          <w:rFonts w:ascii="Times New Roman;Times;Serif" w:hAnsi="Times New Roman;Times;Serif"/>
          <w:b w:val="false"/>
          <w:i w:val="false"/>
          <w:caps w:val="false"/>
          <w:smallCaps w:val="false"/>
          <w:sz w:val="20"/>
        </w:rPr>
        <w:t>4,068. The maturity consideration may be settled either in cash or equity at the option of the FPA holders. Paying the maturity consideration in cash would reduce the amount of cash on hand or available debt capacity to fund our operations, which could adversely affect our ability to make necessary investments, and, therefore, could affect our results of operations.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Sandia Investment Management LP (“Sandia”), one of the FPA holders agreed to revised terms where the remaining liability would be settled by adjusting the proceeds from FPA share sales, either via cash or additional share issuance. Further, pursuant to Amendment No. 2 dated January 22, 2026 (Amendment No. 2”) to the Letter Agreement with Sandia dated September 16, 2025 (the “Letter Agreement”) commencing March 2026, the Company is obligated to make monthly cash payments toward the outstanding amount, subject to reductions in such outstanding amount resulting from sell-downs of shares in accordance with the terms of the Letter Agreement and Amendment No. 2. The outstanding amount will be subject to 15% per annum interest calculated monthly.</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after the reporting period, the Company paid Sandia $</w:t>
            </w:r>
            <w:bookmarkStart w:id="277" w:name="xdx_904_ecustom--CompanyDeposited_iI_pn3"/>
            <w:bookmarkEnd w:id="277"/>
            <w:r>
              <w:rPr>
                <w:rFonts w:ascii="Times New Roman;Times;Serif" w:hAnsi="Times New Roman;Times;Serif"/>
                <w:b w:val="false"/>
                <w:i w:val="false"/>
                <w:caps w:val="false"/>
                <w:smallCaps w:val="false"/>
                <w:sz w:val="20"/>
              </w:rPr>
              <w:t xml:space="preserve">1,487 in exchange for the return of </w:t>
            </w:r>
            <w:bookmarkStart w:id="278" w:name="xdx_902_ecustom--ExchangeRates_iI_pid_c2"/>
            <w:bookmarkEnd w:id="278"/>
            <w:r>
              <w:rPr>
                <w:rFonts w:ascii="Times New Roman;Times;Serif" w:hAnsi="Times New Roman;Times;Serif"/>
                <w:b w:val="false"/>
                <w:i w:val="false"/>
                <w:caps w:val="false"/>
                <w:smallCaps w:val="false"/>
                <w:sz w:val="20"/>
              </w:rPr>
              <w:t>226,509 Class A ordinary shares, which satisfied the Company’s outstanding obligations under the Sandia FPA.</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3, 2026, as disclosed in further detail in our Current Report on Form 8-K filed with the SEC on August 7, 2026, we entered into a letter agreement with Sea Otter Trading, LLC (“Sea Otter”) to restructures the remaining maturity obligation into scheduled installment payments, among additional provisions (the “Sea Otter Letter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period ended June 30, 2026, there is a heightened risk of non-collection, leading the Company to record an allowance for doubtful accounts of approximately $</w:t>
            </w:r>
            <w:bookmarkStart w:id="279" w:name="xdx_906_eus-gaap--AllowanceForDoubtfulAc"/>
            <w:bookmarkEnd w:id="279"/>
            <w:r>
              <w:rPr>
                <w:rFonts w:ascii="Times New Roman;Times;Serif" w:hAnsi="Times New Roman;Times;Serif"/>
                <w:b w:val="false"/>
                <w:i w:val="false"/>
                <w:caps w:val="false"/>
                <w:smallCaps w:val="false"/>
                <w:sz w:val="20"/>
              </w:rPr>
              <w:t>1,349, compared to $</w:t>
            </w:r>
            <w:bookmarkStart w:id="280" w:name="xdx_908_eus-gaap--AllowanceForDoubtfulAc"/>
            <w:bookmarkEnd w:id="280"/>
            <w:r>
              <w:rPr>
                <w:rFonts w:ascii="Times New Roman;Times;Serif" w:hAnsi="Times New Roman;Times;Serif"/>
                <w:b w:val="false"/>
                <w:i w:val="false"/>
                <w:caps w:val="false"/>
                <w:smallCaps w:val="false"/>
                <w:sz w:val="20"/>
              </w:rPr>
              <w:t>1,335 as on March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received a non-renewal notice on April 24, 2026, effective June 30, 2026 from a significant customer, expected to result in an annual revenue loss of approximately $</w:t>
            </w:r>
            <w:bookmarkStart w:id="281" w:name="xdx_906_ecustom--RevenueLoss_pn3n3_dm_c2"/>
            <w:bookmarkEnd w:id="281"/>
            <w:r>
              <w:rPr>
                <w:rFonts w:ascii="Times New Roman;Times;Serif" w:hAnsi="Times New Roman;Times;Serif"/>
                <w:b w:val="false"/>
                <w:i w:val="false"/>
                <w:caps w:val="false"/>
                <w:smallCaps w:val="false"/>
                <w:sz w:val="20"/>
              </w:rPr>
              <w:t>5,700.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historically financed its operations and expansions primarily with cash generated from operations and the revolving credit facility from Kotak Mahindra Bank. As of June 30, 2026 the Company had a balance of $</w:t>
      </w:r>
      <w:bookmarkStart w:id="282" w:name="xdx_907_eus-gaap--CashAndCashEquivalents"/>
      <w:bookmarkEnd w:id="282"/>
      <w:r>
        <w:rPr>
          <w:rFonts w:ascii="Times New Roman;Times;Serif" w:hAnsi="Times New Roman;Times;Serif"/>
          <w:b w:val="false"/>
          <w:i w:val="false"/>
          <w:caps w:val="false"/>
          <w:smallCaps w:val="false"/>
          <w:sz w:val="20"/>
        </w:rPr>
        <w:t>6,069 in cash and cash equivalents and has reported positive operating cash inflow of $</w:t>
      </w:r>
      <w:bookmarkStart w:id="283" w:name="xdx_909_eus-gaap--NetCashProvidedByUsedI"/>
      <w:bookmarkEnd w:id="283"/>
      <w:r>
        <w:rPr>
          <w:rFonts w:ascii="Times New Roman;Times;Serif" w:hAnsi="Times New Roman;Times;Serif"/>
          <w:b w:val="false"/>
          <w:i w:val="false"/>
          <w:caps w:val="false"/>
          <w:smallCaps w:val="false"/>
          <w:sz w:val="20"/>
        </w:rPr>
        <w:t xml:space="preserve">4,824. Management expects to have sufficient cash from the operations, cash reserves and debt capacity for the next 12 months and for the foreseeable future to finance our operations, our growth and expansion plans.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settlement of the Sandia obligation on July 29, 2026 and the execution of the Sea Otter Letter Agreement, the Company’s immediate liquidity requirements associated with these obligations have been reduced. However, the Company remains dependent on generating sufficient cash flows and obtaining additional financing, if necessary, to meet its ongoing operating needs and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undertaken or completed the following actions to improve its available cash balances, liquidity, and cash generated from operations: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fee of approximately $</w:t>
            </w:r>
            <w:bookmarkStart w:id="284" w:name="xdx_902_ecustom--BuyoutRevenue_pn3n3_c20"/>
            <w:bookmarkEnd w:id="284"/>
            <w:r>
              <w:rPr>
                <w:rFonts w:ascii="Times New Roman;Times;Serif" w:hAnsi="Times New Roman;Times;Serif"/>
                <w:b w:val="false"/>
                <w:i w:val="false"/>
                <w:caps w:val="false"/>
                <w:smallCaps w:val="false"/>
                <w:sz w:val="20"/>
              </w:rPr>
              <w:t>2,705 was received in connection with the conclusion of a client engagement.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1A1A2E"/>
                <w:sz w:val="20"/>
                <w:shd w:fill="FFFFFF" w:val="clear"/>
              </w:rPr>
            </w:pPr>
            <w:r>
              <w:rPr>
                <w:rFonts w:ascii="Times New Roman;Times;Serif" w:hAnsi="Times New Roman;Times;Serif"/>
                <w:b w:val="false"/>
                <w:i w:val="false"/>
                <w:caps w:val="false"/>
                <w:smallCaps w:val="false"/>
                <w:color w:val="1A1A2E"/>
                <w:sz w:val="20"/>
                <w:shd w:fill="FFFFFF" w:val="clear"/>
              </w:rPr>
              <w:t>Targeted cost cutting measures have been instituted, focusing on non-core expenses including those related to inorganic growth strategy, such as reductions in the use of outside vendors and professional services, as well as selective headcount and salary reductions, which are designed to improve our cash flow position without impacting core business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1A1A2E"/>
                <w:sz w:val="20"/>
                <w:shd w:fill="FFFFFF" w:val="clear"/>
              </w:rPr>
            </w:pPr>
            <w:r>
              <w:rPr>
                <w:rFonts w:ascii="Times New Roman;Times;Serif" w:hAnsi="Times New Roman;Times;Serif"/>
                <w:b w:val="false"/>
                <w:i w:val="false"/>
                <w:caps w:val="false"/>
                <w:smallCaps w:val="false"/>
                <w:color w:val="1A1A2E"/>
                <w:sz w:val="20"/>
                <w:shd w:fill="FFFFFF" w:val="clear"/>
              </w:rPr>
              <w:t>Management believes that the settlement of the Sandia obligation, together with cash generated from operations, cost-management initiatives and other liquidity measures, will improve the Company’s liquidity position.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is dependent upon, among other things, successfully executing its mitigation plan, which includes, (i) raising additional funds from existing or new credit facilities, (ii) raising equity or equity linked capital, (iii) restructuring current liabilities into equity or long-term obligations, (iv) further negotiating for waivers from vendors, and (v) further reducing non-core expenses with a renewed focus on organic growth in the core geography that has been historically operated in, which is North America.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hopeful of accomplishing its objectives through these measures in the anticipated time frame and also expects that the funds available through the above-mentioned arrangements will be sufficient to alleviate the doubts about the Company’s ability to continue as a going concern. However, there is no guarantee of the success of these efforts. The condensed consolidated financial statements do not include any adjustments relating to the recovery of the recorded assets or the classification of the liabilities that might be necessary if the Company is unable to continue as a 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85" w:name="xdx_86A_zCqJks2bmnYi"/>
      <w:bookmarkStart w:id="286" w:name="xdx_845_ecustom--NasdaqListingCompliance"/>
      <w:bookmarkEnd w:id="285"/>
      <w:bookmarkEnd w:id="286"/>
      <w:r>
        <w:rPr>
          <w:rFonts w:ascii="Times New Roman;Times;Serif" w:hAnsi="Times New Roman;Times;Serif"/>
          <w:b/>
          <w:i w:val="false"/>
          <w:caps w:val="false"/>
          <w:smallCaps w:val="false"/>
          <w:sz w:val="20"/>
        </w:rPr>
        <w:t>Nasdaq Listing Compliance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received formal notice from the Listing Qualifications Staff (the “Staff”) of Nasdaq indicating that the Company’s non-compliance with Nasdaq Listing Rule 5550(a)(2) (the “Bid Price Rule”) would result in the delisting of the Company’s securities from Nasdaq unless the Company timely requests a hearing before the Nasdaq Hearings Panel (the “Panel”). The Company filed a timely request for a hearing before the Panel, which request stayed any further action by Nasdaq pending the issuance of a decision by the Panel and the expiration of any extension the Panel may grant to the Company following the hearing. The Company had its hearing before the Panel on May 7, 2026. On June 12, 2026, the Panel notified the Company that it determined to grant its request to continue its listing on Nasdaq subject to the Company demonstrating compliance with the Bid Price Rule on or before June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Company implemented the Share Consolidation of the Company’s Class A ordinary shares. The Share Consolidation was intended to increase the per-share trading price of the Company’s Class A ordinary shares and to assist the Company in maintaining compliance with the minimum bid price requirement for continued listing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letter dated July 15, 2026, Nasdaq notified the Company that it had regained compliance with the Bid Price Rule, as required by the Panel’s decision. In application of Nasdaq Listing Rule 5815(d)(4)(B), the Company will be subject to a Mandatory Panel Monitor for a period of one year from July 15, 2026. If, within that one-year monitoring period, the Staff finds the Company again out of compliance with the Bid Price Rule that was the subject of the exception, notwithstanding Nasdaq Listing Rule 5810(c)(2), the Company will not be permitted to provide the Staff with a plan of compliance with respect to that deficiency and Staff will not be permitted to grant additional time for the Company to regain compliance with respect to that deficiency, nor will the company be afforded an applicable cure or compliance period pursuant to Nasdaq Listing Rule 5810(c)(3). Instead, Staff will issue a Delist Determination Letter and the Company will have an opportunity to request a new hearing with the initial Panel or a newly convened Hearings Panel if the initial Panel is unavailable. The Company will have the opportunity to respond/present to the Hearings Panel as provided by Nasdaq Listing Rule 5815(d)(4)(C). The Company’s securities may be at that time delisted from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pPr>
      <w:r>
        <w:rPr/>
        <w:t> </w:t>
      </w:r>
    </w:p>
    <w:p>
      <w:pPr>
        <w:pStyle w:val="TextBody"/>
        <w:bidi w:val="0"/>
        <w:jc w:val="both"/>
        <w:rPr>
          <w:caps w:val="false"/>
          <w:smallCaps w:val="false"/>
        </w:rPr>
      </w:pPr>
      <w:bookmarkStart w:id="287" w:name="xdx_23D_zO9Jj3uDlEV8"/>
      <w:bookmarkEnd w:id="28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88" w:name="xdx_86B_zq6SdARVAXPd"/>
      <w:bookmarkStart w:id="289" w:name="xdx_840_eus-gaap--UseOfEstimates_zSVdinb"/>
      <w:bookmarkEnd w:id="288"/>
      <w:bookmarkEnd w:id="289"/>
      <w:r>
        <w:rPr>
          <w:rFonts w:ascii="Times New Roman;Times;Serif" w:hAnsi="Times New Roman;Times;Serif"/>
          <w:b/>
          <w:i w:val="false"/>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accordance with generally accepted accounting practices in the United States (“US GAAP”) requires management to make estimates and assumptions that affect the reported amounts of assets and liabilities at the date of the condensed consolidated financial statements, and the reported amounts of revenue and expenses during the reporting periods. Significant items subject to such estimates and assumptions include, but are not limited to, revenue recognition, allowance for credit losses, stock-based compensation, fair valuation of FPA put option liabilities and private warrant liabilities, useful lives of property and equipment, accounting for income taxes, determination of incremental borrowing rates used for operating lease liabilities and right-of-use assets and obligations related to employee benefits. Management believes that the estimates and judgments upon which it relies, are reasonable based upon information available to the Company at the time that these estimates and judgments were made. Actual results could differ from those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0" w:name="xdx_860_zx8C0vBRnBuj"/>
      <w:bookmarkStart w:id="291" w:name="xdx_846_eus-gaap--SegmentReportingPolicy"/>
      <w:bookmarkEnd w:id="290"/>
      <w:bookmarkEnd w:id="291"/>
      <w:r>
        <w:rPr>
          <w:rFonts w:ascii="Times New Roman;Times;Serif" w:hAnsi="Times New Roman;Times;Serif"/>
          <w:b/>
          <w:i w:val="false"/>
          <w:caps w:val="false"/>
          <w:smallCaps w:val="false"/>
          <w:sz w:val="20"/>
        </w:rPr>
        <w:t>Segment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one operating segment. The Company’s chief operating decision maker is its chief executive officer, who reviews financial information presented on a consolidated basis for the purposes of making operating decisions, assessing financial performance and allocating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2" w:name="xdx_869_zU5yxRGnFXJh"/>
      <w:bookmarkStart w:id="293" w:name="xdx_847_ecustom--ForwardPurchaseAgreemen"/>
      <w:bookmarkEnd w:id="292"/>
      <w:bookmarkEnd w:id="293"/>
      <w:r>
        <w:rPr>
          <w:rFonts w:ascii="Times New Roman;Times;Serif" w:hAnsi="Times New Roman;Times;Serif"/>
          <w:b/>
          <w:i w:val="false"/>
          <w:caps w:val="false"/>
          <w:smallCaps w:val="false"/>
          <w:sz w:val="20"/>
        </w:rPr>
        <w:t>Forward Purchase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2023 and November 5, 2023, WWAC entered into the Forward Purchase Agreements (“FPAs”) with Sandia, Sea Otter, YA II PN, Ltd and Meteora Capital Partners, LP (“Meteora”) (collectively, the “FPA holders”). Subscription agreements (the “Subscription Agreements”) were also executed alongside the FPA for subscription of the underlying FPA shares by the FPA holders either through a new issuance or purchase of shares from existing holders. The FPAs and Subscription Agreements have been accounted for separately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6, 2024, the Company reached an agreement with Meteora to settle the outstanding maturity consideration liability through the issuance of additional shares. As a result, the Company issued </w:t>
      </w:r>
      <w:bookmarkStart w:id="294" w:name="xdx_908_eus-gaap--SharesIssued_iI_pid_c2"/>
      <w:bookmarkEnd w:id="294"/>
      <w:r>
        <w:rPr>
          <w:rFonts w:ascii="Times New Roman;Times;Serif" w:hAnsi="Times New Roman;Times;Serif"/>
          <w:b w:val="false"/>
          <w:i w:val="false"/>
          <w:caps w:val="false"/>
          <w:smallCaps w:val="false"/>
          <w:sz w:val="20"/>
        </w:rPr>
        <w:t>7,226 Class A ordinary shares to Meteora in November 2024, settling its maturity consideration liability with Meteora.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the Company entered into a Letter Agreement (the “Letter Agreement”) with Sandia, one if its FPA holders, with respect to the Sandia FPA.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Letter Agreement primarily (1) provides for sales of FPA shares held by Sandia to offset the Company’s payment obligations to Sandia under the Sandia FPA at a sales price not lower than $8.40 per share continuing through December 31, 2025 (the “Designated Period”), (2) provides for the issuance and registration of additional Class A ordinary shares (the “Additional Shares”) to Sandia in an amount equal to (a) the result of dividing (i) the remaining liability at the end of the Designated Period by (ii)the greater of (x) the 30-day volume-weighted average price per Class A ordinary share on the Nasdaq Capital Market for the 30 trading days immediately preceding the expiration of the Designated Period or (y) $8.00 per share, minus (b) the number of remaining FPA Shares held by Sandia at the end of the Designated Period, provided that the total number of the Additional Shares issued shall not be less than 62,500 Class A ordinary shares, and (3) clarifies the Company’s payment obligations under the FPA in the case of a Change in Control (as defined in the Letter Agreement) or the delisting of the Company’s Class A ordinary shares from the Nasdaq Capital Market. On December 30, 2025, </w:t>
            </w:r>
            <w:bookmarkStart w:id="295" w:name="xdx_906_eus-gaap--SharesIssued_iI_pid_c2"/>
            <w:bookmarkEnd w:id="295"/>
            <w:r>
              <w:rPr>
                <w:rFonts w:ascii="Times New Roman;Times;Serif" w:hAnsi="Times New Roman;Times;Serif"/>
                <w:sz w:val="20"/>
              </w:rPr>
              <w:t>169,488 Additional Shares were issued to Sandia pursuant to the Letter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Company entered into “Amendment No. 1” to the Letter Agreement extending the Designated Period to January 9,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jc w:val="both"/>
              <w:rPr>
                <w:caps w:val="false"/>
                <w:smallCaps w:val="false"/>
              </w:rPr>
            </w:pPr>
            <w:r>
              <w:rPr>
                <w:caps w:val="false"/>
                <w:smallCaps w:val="false"/>
              </w:rPr>
              <w:t>●</w:t>
            </w:r>
          </w:p>
        </w:tc>
        <w:tc>
          <w:tcPr>
            <w:tcW w:w="99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on January 22, 2026, the Company and Sandia entered into “Amendment No. 2” to the Letter Agreement, pursuant to which the Company agreed that, commencing March 2026, the Company is obligated to make monthly cash payments toward the outstanding amount, subject to reductions in such outstanding amount resulting from sell-downs of shares in accordance with the terms of the Letter Agreement and Amendment No. 2. Additionally, the outstanding amount is subject to 15% per annum interest calculated monthly.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pPr>
      <w:r>
        <w:rPr/>
        <w:t> </w:t>
      </w:r>
    </w:p>
    <w:p>
      <w:pPr>
        <w:pStyle w:val="TextBody"/>
        <w:bidi w:val="0"/>
        <w:jc w:val="left"/>
        <w:rPr>
          <w:caps w:val="false"/>
          <w:smallCaps w:val="false"/>
          <w:color w:val="1A1A2E"/>
          <w:shd w:fill="FFFFFF" w:val="clear"/>
        </w:rPr>
      </w:pPr>
      <w:bookmarkStart w:id="296" w:name="xdx_237_z5KQmsJatHX2"/>
      <w:bookmarkEnd w:id="296"/>
      <w:r>
        <w:rPr>
          <w:caps w:val="false"/>
          <w:smallCaps w:val="false"/>
          <w:color w:val="1A1A2E"/>
          <w:shd w:fill="FFFFFF" w:val="clear"/>
        </w:rPr>
        <w:t> </w:t>
      </w:r>
    </w:p>
    <w:p>
      <w:pPr>
        <w:pStyle w:val="TextBody"/>
        <w:bidi w:val="0"/>
        <w:jc w:val="both"/>
        <w:rPr>
          <w:rFonts w:ascii="Times New Roman;Times;Serif" w:hAnsi="Times New Roman;Times;Serif"/>
          <w:b/>
          <w:i w:val="false"/>
          <w:caps w:val="false"/>
          <w:smallCaps w:val="false"/>
          <w:sz w:val="20"/>
        </w:rPr>
      </w:pPr>
      <w:bookmarkStart w:id="297" w:name="xdx_861_zq9SO9WUTYvi"/>
      <w:bookmarkStart w:id="298" w:name="xdx_847_eus-gaap--DerivativesMethodsOfAc"/>
      <w:bookmarkEnd w:id="297"/>
      <w:bookmarkEnd w:id="298"/>
      <w:r>
        <w:rPr>
          <w:rFonts w:ascii="Times New Roman;Times;Serif" w:hAnsi="Times New Roman;Times;Serif"/>
          <w:b/>
          <w:i w:val="false"/>
          <w:caps w:val="false"/>
          <w:smallCaps w:val="false"/>
          <w:sz w:val="20"/>
        </w:rPr>
        <w:t>Derivative Financial Instruments and FPA Put Option Liability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Warrants (as defined below) in accordance with the guidance contained in ASC 815-40 under which the Instruments (as defined below) do not meet the criteria for equity treatment and must be recorded as liabilities. The Company accounts for the FPA put option liability as a financial liability in accordance with the guidance in ASC 480-10. Warrants and FPA are collectively referred to as the “Instruments”. The Instruments are subject to re-measurement at each balance sheet date until exercised, and any change in fair value is recognized in the Company’s condensed consolidated statement of operations. See Note 11 for further discussion of the pertinent terms of the Warrants and Note 14 for further discussion of the methodology used to determine the value of the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derivative financial instrument written by the Company which has been accounted for in accordance with the guidance contained in ASC 815-40 including subsequent re-measurement at fair value with the changes being recognized in Company’s condensed consolidated statement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derivative financial instruments that are accounted for as liabilities, the derivative instrument is initially recorded at its fair value at inception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condensed consolidated balance sheets as current or noncurrent based on whether or not net-cash settlement or conversion of the instrument could be required within 12 months of the balance sheet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9" w:name="xdx_866_z3ypnIkxClyd"/>
      <w:bookmarkStart w:id="300" w:name="xdx_842_eus-gaap--FairValueMeasurementPo"/>
      <w:bookmarkEnd w:id="299"/>
      <w:bookmarkEnd w:id="300"/>
      <w:r>
        <w:rPr>
          <w:rFonts w:ascii="Times New Roman;Times;Serif" w:hAnsi="Times New Roman;Times;Serif"/>
          <w:b/>
          <w:i w:val="false"/>
          <w:caps w:val="false"/>
          <w:smallCaps w:val="false"/>
          <w:sz w:val="20"/>
        </w:rPr>
        <w:t>Fair Value Measurements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should maximize the use of observable inputs and minimize the use of unobservable inputs. Assets and liabilities recorded at fair value in the condensed consolidated financial statements are categorized based upon the level of judgment associated with the inputs used to measure their fair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Hierarchical levels which are directly related to the amount of subjectivity associated with the inputs to the valuation of these assets or liabilities are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unadjusted, quoted prices in active markets for identical assets or liabilities at the measurement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that are observable, either directly or indirectly. Such prices may be based upon quoted prices for identical or comparable securities in active markets or inputs not quoted on active markets but corroborated by market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instrument’s categorization within the valuation hierarchy is based upon the lowest level of input that is significant to the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01" w:name="xdx_863_zpWYBUjsHRHc"/>
      <w:bookmarkStart w:id="302" w:name="xdx_849_ecustom--FairValueofFinancialIns"/>
      <w:bookmarkEnd w:id="301"/>
      <w:bookmarkEnd w:id="302"/>
      <w:r>
        <w:rPr>
          <w:rFonts w:ascii="Times New Roman;Times;Serif" w:hAnsi="Times New Roman;Times;Serif"/>
          <w:b/>
          <w:i w:val="false"/>
          <w:caps w:val="false"/>
          <w:smallCaps w:val="false"/>
          <w:sz w:val="20"/>
        </w:rPr>
        <w:t>Fair Value of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Warrants and FPAs as described above, the fair value of the Company’s assets and liabilities, which qualify as financial instruments under the Financial Accounting Standards Board (the “FASB”) ASC 820, “Fair Value Measurements” approximates the carrying amounts represented in the condensed consolidated balance sheets.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pPr>
      <w:r>
        <w:rPr/>
        <w:t> </w:t>
      </w:r>
    </w:p>
    <w:p>
      <w:pPr>
        <w:pStyle w:val="TextBody"/>
        <w:bidi w:val="0"/>
        <w:jc w:val="left"/>
        <w:rPr>
          <w:caps w:val="false"/>
          <w:smallCaps w:val="false"/>
        </w:rPr>
      </w:pPr>
      <w:bookmarkStart w:id="303" w:name="xdx_234_zhA25fOgXs3d"/>
      <w:bookmarkEnd w:id="303"/>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04" w:name="xdx_86D_zaMSwg1LFxr5"/>
      <w:bookmarkStart w:id="305" w:name="xdx_848_eus-gaap--CashAndCashEquivalents"/>
      <w:bookmarkEnd w:id="304"/>
      <w:bookmarkEnd w:id="305"/>
      <w:r>
        <w:rPr>
          <w:rFonts w:ascii="Times New Roman;Times;Serif" w:hAnsi="Times New Roman;Times;Serif"/>
          <w:b/>
          <w:i w:val="false"/>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consists of the Company’s cash and bank balances. The Company considers cash equivalents to be highly liquid investments with original maturities of three months or less.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06" w:name="xdx_86C_z2DqvM1e0D16"/>
      <w:bookmarkStart w:id="307" w:name="xdx_84B_eus-gaap--ConcentrationRiskCredi"/>
      <w:bookmarkEnd w:id="306"/>
      <w:bookmarkEnd w:id="307"/>
      <w:r>
        <w:rPr>
          <w:rFonts w:ascii="Times New Roman;Times;Serif" w:hAnsi="Times New Roman;Times;Serif"/>
          <w:b/>
          <w:i w:val="false"/>
          <w:caps w:val="false"/>
          <w:smallCaps w:val="false"/>
          <w:sz w:val="20"/>
        </w:rPr>
        <w:t>Concentration of Credit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primarily of cash and cash equivalents, accounts receivable, loans to affiliates, and investments. The Company holds cash at financial institutions that the Company believes are high credit quality financial institutions and limits the amount of credit exposure with any one bank and conducts ongoing evaluations of the creditworthiness of the banks with which it does business. As of June 30, 2026 and March 31, 2026, there were three and two customers that represented 10% or greater of the Company’s accounts receivable balance, respectively. The Company expects limited credit risk arising from its long-term investments as these primarily entail investments in the Company’s affiliates that have a credit rating that is above the minimum allowable credit rating defined in the Company’s investment policy. As a part of its risk management process, the Company limits its credit risk with respect to long-term investments by performing periodic evaluations of the credit standing of counterparties to its investments.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respect of the Company’s revenue, there were two and four customers that each accounted for more than </w:t>
      </w:r>
      <w:bookmarkStart w:id="308" w:name="xdx_905_ecustom--ConcentrationRiskThresh"/>
      <w:bookmarkStart w:id="309" w:name="xdx_904_ecustom--ConcentrationRiskThresh"/>
      <w:bookmarkEnd w:id="308"/>
      <w:bookmarkEnd w:id="309"/>
      <w:r>
        <w:rPr>
          <w:rFonts w:ascii="Times New Roman;Times;Serif" w:hAnsi="Times New Roman;Times;Serif"/>
          <w:b w:val="false"/>
          <w:i w:val="false"/>
          <w:caps w:val="false"/>
          <w:smallCaps w:val="false"/>
          <w:sz w:val="20"/>
        </w:rPr>
        <w:t xml:space="preserve">10% of total revenue for the three months ended June 30, 2026 and 2025, respectively. The following table shows the amount of revenue derived from each customer exceeding </w:t>
      </w:r>
      <w:bookmarkStart w:id="310" w:name="xdx_909_ecustom--ConcentrationRiskThresh"/>
      <w:bookmarkStart w:id="311" w:name="xdx_902_ecustom--ConcentrationRiskThresh"/>
      <w:bookmarkEnd w:id="310"/>
      <w:bookmarkEnd w:id="311"/>
      <w:r>
        <w:rPr>
          <w:rFonts w:ascii="Times New Roman;Times;Serif" w:hAnsi="Times New Roman;Times;Serif"/>
          <w:b w:val="false"/>
          <w:i w:val="false"/>
          <w:caps w:val="false"/>
          <w:smallCaps w:val="false"/>
          <w:sz w:val="20"/>
        </w:rPr>
        <w:t>10% of the Company’s revenue during the three months ended June 30, 2026, and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2" w:name="xdx_89D_eus-gaap--ScheduleOfCededCreditR"/>
      <w:bookmarkStart w:id="313" w:name="xdx_89D_eus-gaap--ScheduleOfCededCreditR"/>
      <w:bookmarkEnd w:id="313"/>
    </w:p>
    <w:tbl>
      <w:tblPr>
        <w:tblW w:w="5277" w:type="dxa"/>
        <w:jc w:val="left"/>
        <w:tblInd w:w="0" w:type="dxa"/>
        <w:tblLayout w:type="fixed"/>
        <w:tblCellMar>
          <w:top w:w="0" w:type="dxa"/>
          <w:left w:w="0" w:type="dxa"/>
          <w:bottom w:w="0" w:type="dxa"/>
          <w:right w:w="0" w:type="dxa"/>
        </w:tblCellMar>
      </w:tblPr>
      <w:tblGrid>
        <w:gridCol w:w="3230"/>
        <w:gridCol w:w="60"/>
        <w:gridCol w:w="123"/>
        <w:gridCol w:w="565"/>
        <w:gridCol w:w="380"/>
        <w:gridCol w:w="123"/>
        <w:gridCol w:w="123"/>
        <w:gridCol w:w="473"/>
        <w:gridCol w:w="200"/>
      </w:tblGrid>
      <w:tr>
        <w:trPr/>
        <w:tc>
          <w:tcPr>
            <w:tcW w:w="323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314" w:name="xdx_8B6_zStd2wa39U1e"/>
            <w:bookmarkEnd w:id="314"/>
            <w:r>
              <w:rPr>
                <w:rFonts w:ascii="Times New Roman;Times;Serif" w:hAnsi="Times New Roman;Times;Serif"/>
                <w:b w:val="false"/>
                <w:i w:val="false"/>
                <w:caps w:val="false"/>
                <w:smallCaps w:val="false"/>
                <w:sz w:val="20"/>
              </w:rPr>
              <w:t>Schedule of concentration of credit risk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7"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15" w:name="xdx_90F_ecustom--ConcentrationRiskThresh"/>
            <w:bookmarkEnd w:id="315"/>
            <w:r>
              <w:rPr>
                <w:rFonts w:ascii="Times New Roman;Times;Serif" w:hAnsi="Times New Roman;Times;Serif"/>
                <w:b w:val="false"/>
                <w:i w:val="false"/>
                <w:caps w:val="false"/>
                <w:smallCaps w:val="false"/>
                <w:sz w:val="20"/>
              </w:rPr>
              <w:t>26</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16" w:name="xdx_901_ecustom--ConcentrationRiskThresh"/>
            <w:bookmarkEnd w:id="316"/>
            <w:r>
              <w:rPr>
                <w:rFonts w:ascii="Times New Roman;Times;Serif" w:hAnsi="Times New Roman;Times;Serif"/>
                <w:b w:val="false"/>
                <w:i w:val="false"/>
                <w:caps w:val="false"/>
                <w:smallCaps w:val="false"/>
                <w:sz w:val="20"/>
              </w:rPr>
              <w:t>14</w:t>
            </w:r>
          </w:p>
        </w:tc>
        <w:tc>
          <w:tcPr>
            <w:tcW w:w="2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17" w:name="xdx_90E_ecustom--ConcentrationRiskThresh"/>
            <w:bookmarkEnd w:id="317"/>
            <w:r>
              <w:rPr>
                <w:rFonts w:ascii="Times New Roman;Times;Serif" w:hAnsi="Times New Roman;Times;Serif"/>
                <w:b w:val="false"/>
                <w:i w:val="false"/>
                <w:caps w:val="false"/>
                <w:smallCaps w:val="false"/>
                <w:sz w:val="20"/>
              </w:rPr>
              <w:t>19</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18" w:name="xdx_906_ecustom--ConcentrationRiskThresh"/>
            <w:bookmarkEnd w:id="318"/>
            <w:r>
              <w:rPr>
                <w:rFonts w:ascii="Times New Roman;Times;Serif" w:hAnsi="Times New Roman;Times;Serif"/>
                <w:b w:val="false"/>
                <w:i w:val="false"/>
                <w:caps w:val="false"/>
                <w:smallCaps w:val="false"/>
                <w:sz w:val="20"/>
              </w:rPr>
              <w:t>12</w:t>
            </w:r>
          </w:p>
        </w:tc>
        <w:tc>
          <w:tcPr>
            <w:tcW w:w="2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19" w:name="xdx_90E_ecustom--ConcentrationRiskThresh"/>
            <w:bookmarkEnd w:id="319"/>
            <w:r>
              <w:rPr>
                <w:rFonts w:ascii="Times New Roman;Times;Serif" w:hAnsi="Times New Roman;Times;Serif"/>
                <w:b w:val="false"/>
                <w:i w:val="false"/>
                <w:caps w:val="false"/>
                <w:smallCaps w:val="false"/>
                <w:sz w:val="20"/>
              </w:rPr>
              <w:t>11</w:t>
            </w:r>
          </w:p>
        </w:tc>
        <w:tc>
          <w:tcPr>
            <w:tcW w:w="2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20" w:name="xdx_906_ecustom--ConcentrationRiskThresh"/>
            <w:bookmarkEnd w:id="320"/>
            <w:r>
              <w:rPr>
                <w:rFonts w:ascii="Times New Roman;Times;Serif" w:hAnsi="Times New Roman;Times;Serif"/>
                <w:b w:val="false"/>
                <w:i w:val="false"/>
                <w:caps w:val="false"/>
                <w:smallCaps w:val="false"/>
                <w:sz w:val="20"/>
              </w:rPr>
              <w:t>11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bookmarkStart w:id="321" w:name="xdx_8A8_zwAdagC8O7Eb"/>
      <w:bookmarkEnd w:id="321"/>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22" w:name="xdx_863_zBDN3lMuCQUd"/>
      <w:bookmarkStart w:id="323" w:name="xdx_840_eus-gaap--ReceivablesPolicyTextB"/>
      <w:bookmarkEnd w:id="322"/>
      <w:bookmarkEnd w:id="323"/>
      <w:r>
        <w:rPr>
          <w:rFonts w:ascii="Times New Roman;Times;Serif" w:hAnsi="Times New Roman;Times;Serif"/>
          <w:b/>
          <w:i w:val="false"/>
          <w:caps w:val="false"/>
          <w:smallCaps w:val="false"/>
          <w:sz w:val="20"/>
        </w:rPr>
        <w:t>Accounts receivable,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 receivable when an unconditional right to consideration exists,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condensed consolidated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Topic 326, accounts receivable are recorded at the invoiced amount, net of allowance for credit losses. The Company regularly reviews the adequacy of the allowance for credit losses based on a combination of factors. In establishing any required allowance, management considers historical losses adjusted for current market conditions, the current receivables aging, current payment terms and expectations of forward-looking loss estimates. Allowance for credit losses was $</w:t>
      </w:r>
      <w:bookmarkStart w:id="324" w:name="xdx_90F_eus-gaap--AllowanceForDoubtfulAc"/>
      <w:bookmarkEnd w:id="324"/>
      <w:r>
        <w:rPr>
          <w:rFonts w:ascii="Times New Roman;Times;Serif" w:hAnsi="Times New Roman;Times;Serif"/>
          <w:b w:val="false"/>
          <w:i w:val="false"/>
          <w:caps w:val="false"/>
          <w:smallCaps w:val="false"/>
          <w:sz w:val="20"/>
        </w:rPr>
        <w:t>1,349 as of June 30, 2026 and $</w:t>
      </w:r>
      <w:bookmarkStart w:id="325" w:name="xdx_908_eus-gaap--AllowanceForDoubtfulAc"/>
      <w:bookmarkEnd w:id="325"/>
      <w:r>
        <w:rPr>
          <w:rFonts w:ascii="Times New Roman;Times;Serif" w:hAnsi="Times New Roman;Times;Serif"/>
          <w:b w:val="false"/>
          <w:i w:val="false"/>
          <w:caps w:val="false"/>
          <w:smallCaps w:val="false"/>
          <w:sz w:val="20"/>
        </w:rPr>
        <w:t>1,335 as of March 31, 2026, and is classified within “Accounts Receivable, net” in the condensed consolidated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details of the Company’s allowance for credit losses on accounts receivable:</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6" w:name="xdx_898_eus-gaap--SecuritiesBorrowedAllo"/>
      <w:bookmarkStart w:id="327" w:name="xdx_898_eus-gaap--SecuritiesBorrowedAllo"/>
      <w:bookmarkEnd w:id="327"/>
    </w:p>
    <w:tbl>
      <w:tblPr>
        <w:tblW w:w="5077" w:type="dxa"/>
        <w:jc w:val="left"/>
        <w:tblInd w:w="0" w:type="dxa"/>
        <w:tblLayout w:type="fixed"/>
        <w:tblCellMar>
          <w:top w:w="0" w:type="dxa"/>
          <w:left w:w="0" w:type="dxa"/>
          <w:bottom w:w="0" w:type="dxa"/>
          <w:right w:w="0" w:type="dxa"/>
        </w:tblCellMar>
      </w:tblPr>
      <w:tblGrid>
        <w:gridCol w:w="3170"/>
        <w:gridCol w:w="60"/>
        <w:gridCol w:w="165"/>
        <w:gridCol w:w="642"/>
        <w:gridCol w:w="79"/>
        <w:gridCol w:w="79"/>
        <w:gridCol w:w="165"/>
        <w:gridCol w:w="642"/>
        <w:gridCol w:w="75"/>
      </w:tblGrid>
      <w:tr>
        <w:trPr/>
        <w:tc>
          <w:tcPr>
            <w:tcW w:w="317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328" w:name="xdx_8B5_z4rISNqdVJ1f"/>
            <w:bookmarkEnd w:id="328"/>
            <w:r>
              <w:rPr>
                <w:rFonts w:ascii="Times New Roman;Times;Serif" w:hAnsi="Times New Roman;Times;Serif"/>
                <w:b w:val="false"/>
                <w:i w:val="false"/>
                <w:caps w:val="false"/>
                <w:smallCaps w:val="false"/>
                <w:sz w:val="20"/>
              </w:rPr>
              <w:t>Schedule of allowance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2"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 as of April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29" w:name="xdx_903_eus-gaap--AllowanceForDoubtfulAc"/>
            <w:bookmarkEnd w:id="329"/>
            <w:r>
              <w:rPr>
                <w:rFonts w:ascii="Times New Roman;Times;Serif" w:hAnsi="Times New Roman;Times;Serif"/>
                <w:b w:val="false"/>
                <w:i w:val="false"/>
                <w:caps w:val="false"/>
                <w:smallCaps w:val="false"/>
                <w:sz w:val="20"/>
              </w:rPr>
              <w:t>1,335</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30" w:name="xdx_90A_eus-gaap--AllowanceForDoubtfulAc"/>
            <w:bookmarkEnd w:id="330"/>
            <w:r>
              <w:rPr>
                <w:rFonts w:ascii="Times New Roman;Times;Serif" w:hAnsi="Times New Roman;Times;Serif"/>
                <w:b w:val="false"/>
                <w:i w:val="false"/>
                <w:caps w:val="false"/>
                <w:smallCaps w:val="false"/>
                <w:sz w:val="20"/>
              </w:rPr>
              <w:t>3,574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charged to cost and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31" w:name="xdx_908_ecustom--AdditionsChargedToCostA"/>
            <w:bookmarkEnd w:id="331"/>
            <w:r>
              <w:rPr>
                <w:rFonts w:ascii="Times New Roman;Times;Serif" w:hAnsi="Times New Roman;Times;Serif"/>
                <w:b w:val="false"/>
                <w:i w:val="false"/>
                <w:caps w:val="false"/>
                <w:smallCaps w:val="false"/>
                <w:sz w:val="20"/>
              </w:rPr>
              <w:t>14</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32" w:name="xdx_904_ecustom--AdditionsChargedToCostA"/>
            <w:bookmarkEnd w:id="332"/>
            <w:r>
              <w:rPr>
                <w:rFonts w:ascii="Times New Roman;Times;Serif" w:hAnsi="Times New Roman;Times;Serif"/>
                <w:b w:val="false"/>
                <w:i w:val="false"/>
                <w:caps w:val="false"/>
                <w:smallCaps w:val="false"/>
                <w:sz w:val="20"/>
              </w:rPr>
              <w:t>22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balance as of June 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333" w:name="xdx_905_eus-gaap--AllowanceForDoubtfulAc"/>
            <w:bookmarkEnd w:id="333"/>
            <w:r>
              <w:rPr>
                <w:rFonts w:ascii="Times New Roman;Times;Serif" w:hAnsi="Times New Roman;Times;Serif"/>
                <w:b/>
                <w:i w:val="false"/>
                <w:caps w:val="false"/>
                <w:smallCaps w:val="false"/>
                <w:sz w:val="20"/>
              </w:rPr>
              <w:t>1,349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334" w:name="xdx_904_eus-gaap--AllowanceForDoubtfulAc"/>
            <w:bookmarkEnd w:id="334"/>
            <w:r>
              <w:rPr>
                <w:rFonts w:ascii="Times New Roman;Times;Serif" w:hAnsi="Times New Roman;Times;Serif"/>
                <w:b/>
                <w:i w:val="false"/>
                <w:caps w:val="false"/>
                <w:smallCaps w:val="false"/>
                <w:sz w:val="20"/>
              </w:rPr>
              <w:t>3,596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335" w:name="xdx_8A3_z2T1fgaBZfHc"/>
      <w:bookmarkEnd w:id="335"/>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pPr>
      <w:r>
        <w:rPr/>
        <w:t> </w:t>
      </w:r>
    </w:p>
    <w:p>
      <w:pPr>
        <w:pStyle w:val="TextBody"/>
        <w:bidi w:val="0"/>
        <w:jc w:val="left"/>
        <w:rPr>
          <w:caps w:val="false"/>
          <w:smallCaps w:val="false"/>
        </w:rPr>
      </w:pPr>
      <w:bookmarkStart w:id="336" w:name="xdx_237_zfKpvV70wae"/>
      <w:bookmarkEnd w:id="336"/>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37" w:name="xdx_861_zUSBEO8EbGqk"/>
      <w:bookmarkStart w:id="338" w:name="xdx_84C_ecustom--LongTermInvestmentsPoli"/>
      <w:bookmarkEnd w:id="337"/>
      <w:bookmarkEnd w:id="338"/>
      <w:r>
        <w:rPr>
          <w:rFonts w:ascii="Times New Roman;Times;Serif" w:hAnsi="Times New Roman;Times;Serif"/>
          <w:b/>
          <w:i w:val="false"/>
          <w:caps w:val="false"/>
          <w:smallCaps w:val="false"/>
          <w:sz w:val="20"/>
        </w:rPr>
        <w:t>Long-Term Investments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long-term investments consist of debt and non-marketable equity investments in privately-held companies in which the Company does not have a controlling interest or significant influence, which have maturities in excess of one year and the Company does not intend to sell.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investments of mandatorily redeemable preference shares, which are classified as held-to-maturity since the Company has the intent and contractual ability to hold these securities to maturity. These investments are reported at amortized cost and are subject to an ongoing impairment evaluation. Income from these investments is recorded in “Interest income” in the condensed consolidated statements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Topic 326, expected credit losses are recorded and reduced from the amortized cost of the held-to-maturity securities. Expected credit losses for long-term investments are calculated using a probability of default method. Credit losses are recorded within “Selling, general &amp; administrative expenses” in the condensed consolidated statements of operations when an event or circumstance indicates a decline in value has occurred. Allowance for credit losses was $</w:t>
      </w:r>
      <w:bookmarkStart w:id="339" w:name="xdx_904_eus-gaap--AllowanceForDoubtfulAc"/>
      <w:bookmarkEnd w:id="339"/>
      <w:r>
        <w:rPr>
          <w:rFonts w:ascii="Times New Roman;Times;Serif" w:hAnsi="Times New Roman;Times;Serif"/>
          <w:b w:val="false"/>
          <w:i w:val="false"/>
          <w:caps w:val="false"/>
          <w:smallCaps w:val="false"/>
          <w:sz w:val="20"/>
        </w:rPr>
        <w:t>52 as of June 30, 2026 and $</w:t>
      </w:r>
      <w:bookmarkStart w:id="340" w:name="xdx_90C_eus-gaap--AllowanceForDoubtfulAc"/>
      <w:bookmarkEnd w:id="340"/>
      <w:r>
        <w:rPr>
          <w:rFonts w:ascii="Times New Roman;Times;Serif" w:hAnsi="Times New Roman;Times;Serif"/>
          <w:b w:val="false"/>
          <w:i w:val="false"/>
          <w:caps w:val="false"/>
          <w:smallCaps w:val="false"/>
          <w:sz w:val="20"/>
        </w:rPr>
        <w:t>52 as of March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details of the Company’s allowance for credit losses on long-term investments: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1" w:name="xdx_896_ecustom--SecuritiesBorrowedAllow"/>
      <w:bookmarkStart w:id="342" w:name="xdx_896_ecustom--SecuritiesBorrowedAllow"/>
      <w:bookmarkEnd w:id="342"/>
    </w:p>
    <w:tbl>
      <w:tblPr>
        <w:tblW w:w="5077" w:type="dxa"/>
        <w:jc w:val="left"/>
        <w:tblInd w:w="0" w:type="dxa"/>
        <w:tblLayout w:type="fixed"/>
        <w:tblCellMar>
          <w:top w:w="0" w:type="dxa"/>
          <w:left w:w="0" w:type="dxa"/>
          <w:bottom w:w="0" w:type="dxa"/>
          <w:right w:w="0" w:type="dxa"/>
        </w:tblCellMar>
      </w:tblPr>
      <w:tblGrid>
        <w:gridCol w:w="3170"/>
        <w:gridCol w:w="60"/>
        <w:gridCol w:w="267"/>
        <w:gridCol w:w="491"/>
        <w:gridCol w:w="128"/>
        <w:gridCol w:w="128"/>
        <w:gridCol w:w="267"/>
        <w:gridCol w:w="491"/>
        <w:gridCol w:w="75"/>
      </w:tblGrid>
      <w:tr>
        <w:trPr/>
        <w:tc>
          <w:tcPr>
            <w:tcW w:w="317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343" w:name="xdx_8B4_z9s3pMymmGe7"/>
            <w:bookmarkEnd w:id="343"/>
            <w:r>
              <w:rPr>
                <w:rFonts w:ascii="Times New Roman;Times;Serif" w:hAnsi="Times New Roman;Times;Serif"/>
                <w:b w:val="false"/>
                <w:i w:val="false"/>
                <w:caps w:val="false"/>
                <w:smallCaps w:val="false"/>
                <w:sz w:val="20"/>
              </w:rPr>
              <w:t>Schedule of allowance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2"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 as of April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44" w:name="xdx_905_eus-gaap--AllowanceForDoubtfulAc"/>
            <w:bookmarkEnd w:id="344"/>
            <w:r>
              <w:rPr>
                <w:rFonts w:ascii="Times New Roman;Times;Serif" w:hAnsi="Times New Roman;Times;Serif"/>
                <w:b w:val="false"/>
                <w:i w:val="false"/>
                <w:caps w:val="false"/>
                <w:smallCaps w:val="false"/>
                <w:sz w:val="20"/>
              </w:rPr>
              <w:t>52</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45" w:name="xdx_901_eus-gaap--AllowanceForDoubtfulAc"/>
            <w:bookmarkEnd w:id="345"/>
            <w:r>
              <w:rPr>
                <w:rFonts w:ascii="Times New Roman;Times;Serif" w:hAnsi="Times New Roman;Times;Serif"/>
                <w:b w:val="false"/>
                <w:i w:val="false"/>
                <w:caps w:val="false"/>
                <w:smallCaps w:val="false"/>
                <w:sz w:val="20"/>
              </w:rPr>
              <w:t>76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provision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46" w:name="xdx_90A_ecustom--AdditionsChargedToCostA"/>
            <w:bookmarkEnd w:id="346"/>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47" w:name="xdx_907_ecustom--AdditionsChargedToCostA"/>
            <w:bookmarkEnd w:id="347"/>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balance as of June 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348" w:name="xdx_90B_eus-gaap--AllowanceForDoubtfulAc"/>
            <w:bookmarkEnd w:id="348"/>
            <w:r>
              <w:rPr>
                <w:rFonts w:ascii="Times New Roman;Times;Serif" w:hAnsi="Times New Roman;Times;Serif"/>
                <w:b/>
                <w:i w:val="false"/>
                <w:caps w:val="false"/>
                <w:smallCaps w:val="false"/>
                <w:sz w:val="20"/>
              </w:rPr>
              <w:t>52</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349" w:name="xdx_90A_eus-gaap--AllowanceForDoubtfulAc"/>
            <w:bookmarkEnd w:id="349"/>
            <w:r>
              <w:rPr>
                <w:rFonts w:ascii="Times New Roman;Times;Serif" w:hAnsi="Times New Roman;Times;Serif"/>
                <w:b/>
                <w:i w:val="false"/>
                <w:caps w:val="false"/>
                <w:smallCaps w:val="false"/>
                <w:sz w:val="20"/>
              </w:rPr>
              <w:t>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350" w:name="xdx_8AF_z6axHdXnIsu9"/>
      <w:bookmarkEnd w:id="35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these long-term investments in “Long-term investments” on the condensed consolidated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1" w:name="xdx_867_zFJg2Ufymy43"/>
      <w:bookmarkStart w:id="352" w:name="xdx_844_eus-gaap--EarningsPerSharePolicy"/>
      <w:bookmarkEnd w:id="351"/>
      <w:bookmarkEnd w:id="352"/>
      <w:r>
        <w:rPr>
          <w:rFonts w:ascii="Times New Roman;Times;Serif" w:hAnsi="Times New Roman;Times;Serif"/>
          <w:b/>
          <w:i w:val="false"/>
          <w:caps w:val="false"/>
          <w:smallCaps w:val="false"/>
          <w:sz w:val="20"/>
        </w:rPr>
        <w:t>Net Income / (loss)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 (loss) per share is computed by dividing income / (loss) available to ordinary shareholders by the weighted-average number of ordinary shares outstanding during the period. Diluted net income / (loss) per share is computed using the weighted-average number of ordinary shares and potential dilutive ordinary shares outstanding during the period. The Company has not considered the effect of the Warrants sold in its initial public offering (the “Initial Public Offering”) and impact of FPA put option liability in the calculation of diluted net income / (loss) per share, since the instruments are not dilutive.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3" w:name="xdx_86E_zcrcBblVdX7"/>
      <w:bookmarkStart w:id="354" w:name="xdx_84B_eus-gaap--CompensationRelatedCos"/>
      <w:bookmarkEnd w:id="353"/>
      <w:bookmarkEnd w:id="354"/>
      <w:r>
        <w:rPr>
          <w:rFonts w:ascii="Times New Roman;Times;Serif" w:hAnsi="Times New Roman;Times;Serif"/>
          <w:b/>
          <w:i w:val="false"/>
          <w:caps w:val="false"/>
          <w:smallCaps w:val="false"/>
          <w:sz w:val="20"/>
        </w:rPr>
        <w:t>Stock 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as compensation expense all stock-based awards issued to employees. The compensation cost is measured based on the grant-date fair value of the related stock-based awards and is recognized over the service period of stock-based awards. The fair value of stock options is determined using the Black-Scholes valuation model, which estimates the fair value of each award on the date of grant based on a variety of assumptions including expected stock price volatility, expected terms of the awards, risk-free interest rate, and dividend rates, if applicable.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bookmarkStart w:id="355" w:name="xdx_232_zSobpw8jTSh8"/>
      <w:bookmarkEnd w:id="355"/>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6" w:name="xdx_862_z80on7idU979"/>
      <w:bookmarkStart w:id="357" w:name="xdx_847_ecustom--RecentAccountingPronoun"/>
      <w:bookmarkEnd w:id="356"/>
      <w:bookmarkEnd w:id="357"/>
      <w:r>
        <w:rPr>
          <w:rFonts w:ascii="Times New Roman;Times;Serif" w:hAnsi="Times New Roman;Times;Serif"/>
          <w:b/>
          <w:i w:val="false"/>
          <w:caps w:val="false"/>
          <w:smallCaps w:val="false"/>
          <w:sz w:val="20"/>
        </w:rPr>
        <w:t>Recent Accounting Pronouncements not yet Adopted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our consolidated financial statements, once adopted. We are currently evaluating the provisions of this ASU.</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Instruments—Credit Losses (Topic 326): Measurement of Credit Losses for Accounts Receivable and Contract Assets. The amendments in this update provide a practical expedient permitting an entity to assume that conditions at the balance sheet date remain unchanged over the life of the asset when estimating expected credit losses for current classified accounts receivable and contract assets. This update is effective for annual periods beginning after December 15, 2025, including interim periods within those fiscal years. Adoption of this ASU can be applied prospectively for reporting periods after its effective date. Early adoption is permitted. We are currently evaluating the provisions of this ASU and do not expect this ASU to have a material impact on our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No. 2025-06, Intangibles—Goodwill and Other—Internal-Use Software (Subtopic 350-40): Targeted Improvements to the Accounting for Internal-Use Software. The ASU simplifies the capitalization guidance by removing all references to prescriptive and sequential software development stages (referred to as “project stages”) throughout ASC 350-40. The ASU is effective for annual periods beginning after December 15, 2027, and interim periods within those fiscal years. Adoption of this ASU can be applied prospectively for reporting periods after its effective date; or follow a modified transition approach that is based on the status of the respective projects and whether software costs were capitalized before the date of adoption; or retrospectively to any or all prior periods presented in the consolidated financial statements. Early adoption is permitted. We are currently evaluating the provisions of this ASU.</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2025-10, Government Grants (“ASC Topic 832”): Accounting for Government Grants Received by Business Entities. This ASU provides authoritative guidance on the recognition, measurement, presentation, and disclosure of government grants for business entities, creating a framework that previously did not exist under U.S. GAAP. The ASU will be effective for annual reporting periods beginning after December 15, 2028, including interim periods within those years, with early adoption permitted. The Company is currently evaluating the impact of this ASU on its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2025-11, Interim Reporting (“ASC Topic 270”): Narrow-Scope Improvements. This ASU provides a comprehensive list of interim disclosures that are required by U.S. GAAP and incorporates disclosure principle of material events or changes occurred since the prior year-end. The ASU will be effective for interim reporting periods within annual reporting periods beginning after December 15, 2027, with early adoption permitted. The Company is currently evaluating the impact of this ASU on its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 effect of the updates.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8" w:name="xdx_868_zo1gn1aPopZ4"/>
      <w:bookmarkStart w:id="359" w:name="xdx_840_ecustom--RecentlyAdoptedAccounti"/>
      <w:bookmarkEnd w:id="358"/>
      <w:bookmarkEnd w:id="359"/>
      <w:r>
        <w:rPr>
          <w:rFonts w:ascii="Times New Roman;Times;Serif" w:hAnsi="Times New Roman;Times;Serif"/>
          <w:b/>
          <w:i w:val="false"/>
          <w:caps w:val="false"/>
          <w:smallCaps w:val="false"/>
          <w:sz w:val="20"/>
        </w:rPr>
        <w:t>Recently Adopted Accounting Pronouncements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which requires an annual tabular effective tax rate reconciliation disclosure including information for specified categories and jurisdiction levels, as well as, disclosure of income taxes paid, net of refunds received, disaggregated by federal, state/local, and significant foreign jurisdiction. This ASU is effective for fiscal years beginning after December 15, 2024, with early adoption permitted. The Company has adopted the disclosure requirements on a prospective basis, effective for the year ended March 31,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jc w:val="center"/>
        <w:rPr/>
      </w:pPr>
      <w:r>
        <w:rPr/>
        <w:t> </w:t>
      </w:r>
    </w:p>
    <w:p>
      <w:pPr>
        <w:pStyle w:val="TextBody"/>
        <w:bidi w:val="0"/>
        <w:jc w:val="left"/>
        <w:rPr>
          <w:caps w:val="false"/>
          <w:smallCaps w:val="false"/>
        </w:rPr>
      </w:pPr>
      <w:bookmarkStart w:id="360" w:name="xdx_238_zgzEtdTKgecj"/>
      <w:bookmarkEnd w:id="360"/>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61" w:name="xdx_803_ecustom--ShortTermBorrowingsDisc"/>
      <w:bookmarkEnd w:id="361"/>
      <w:r>
        <w:rPr>
          <w:rFonts w:ascii="Times New Roman;Times;Serif" w:hAnsi="Times New Roman;Times;Serif"/>
          <w:b/>
          <w:i w:val="false"/>
          <w:caps w:val="false"/>
          <w:smallCaps w:val="false"/>
          <w:sz w:val="20"/>
        </w:rPr>
        <w:t xml:space="preserve">Note 3 - </w:t>
      </w:r>
      <w:bookmarkStart w:id="362" w:name="xdx_824_zLbLQ9ZYZPCk"/>
      <w:bookmarkEnd w:id="362"/>
      <w:r>
        <w:rPr>
          <w:rFonts w:ascii="Times New Roman;Times;Serif" w:hAnsi="Times New Roman;Times;Serif"/>
          <w:b/>
          <w:i w:val="false"/>
          <w:caps w:val="false"/>
          <w:smallCaps w:val="false"/>
          <w:sz w:val="20"/>
        </w:rPr>
        <w:t>Short-term borrowings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3" w:name="xdx_88A_eus-gaap--ScheduleOfShortTermDeb"/>
      <w:bookmarkStart w:id="364" w:name="xdx_88A_eus-gaap--ScheduleOfShortTermDeb"/>
      <w:bookmarkEnd w:id="364"/>
    </w:p>
    <w:tbl>
      <w:tblPr>
        <w:tblW w:w="4695" w:type="dxa"/>
        <w:jc w:val="left"/>
        <w:tblInd w:w="0" w:type="dxa"/>
        <w:tblLayout w:type="fixed"/>
        <w:tblCellMar>
          <w:top w:w="0" w:type="dxa"/>
          <w:left w:w="0" w:type="dxa"/>
          <w:bottom w:w="0" w:type="dxa"/>
          <w:right w:w="0" w:type="dxa"/>
        </w:tblCellMar>
      </w:tblPr>
      <w:tblGrid>
        <w:gridCol w:w="2825"/>
        <w:gridCol w:w="60"/>
        <w:gridCol w:w="148"/>
        <w:gridCol w:w="577"/>
        <w:gridCol w:w="60"/>
        <w:gridCol w:w="60"/>
        <w:gridCol w:w="182"/>
        <w:gridCol w:w="708"/>
        <w:gridCol w:w="75"/>
      </w:tblGrid>
      <w:tr>
        <w:trPr/>
        <w:tc>
          <w:tcPr>
            <w:tcW w:w="28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365" w:name="xdx_8BA_zfyyrU6gArP7"/>
            <w:bookmarkEnd w:id="365"/>
            <w:r>
              <w:rPr>
                <w:rFonts w:ascii="Times New Roman;Times;Serif" w:hAnsi="Times New Roman;Times;Serif"/>
                <w:b w:val="false"/>
                <w:i w:val="false"/>
                <w:caps w:val="false"/>
                <w:smallCaps w:val="false"/>
                <w:sz w:val="20"/>
              </w:rPr>
              <w:t>Schedule of short-term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66" w:name="xdx_90E_eus-gaap--OtherShortTermBorrowin"/>
            <w:bookmarkEnd w:id="366"/>
            <w:r>
              <w:rPr>
                <w:rFonts w:ascii="Times New Roman;Times;Serif" w:hAnsi="Times New Roman;Times;Serif"/>
                <w:b w:val="false"/>
                <w:i w:val="false"/>
                <w:caps w:val="false"/>
                <w:smallCaps w:val="false"/>
                <w:sz w:val="20"/>
              </w:rPr>
              <w:t>3,185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67" w:name="xdx_908_eus-gaap--OtherShortTermBorrowin"/>
            <w:bookmarkEnd w:id="367"/>
            <w:r>
              <w:rPr>
                <w:rFonts w:ascii="Times New Roman;Times;Serif" w:hAnsi="Times New Roman;Times;Serif"/>
                <w:b w:val="false"/>
                <w:i w:val="false"/>
                <w:caps w:val="false"/>
                <w:smallCaps w:val="false"/>
                <w:sz w:val="20"/>
              </w:rPr>
              <w:t>4,344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vehicle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68" w:name="xdx_900_eus-gaap--OtherShortTermBorrowin"/>
            <w:bookmarkEnd w:id="368"/>
            <w:r>
              <w:rPr>
                <w:rFonts w:ascii="Times New Roman;Times;Serif" w:hAnsi="Times New Roman;Times;Serif"/>
                <w:b w:val="false"/>
                <w:i w:val="false"/>
                <w:caps w:val="false"/>
                <w:smallCaps w:val="false"/>
                <w:sz w:val="20"/>
              </w:rPr>
              <w:t>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69" w:name="xdx_909_eus-gaap--OtherShortTermBorrowin"/>
            <w:bookmarkEnd w:id="369"/>
            <w:r>
              <w:rPr>
                <w:rFonts w:ascii="Times New Roman;Times;Serif" w:hAnsi="Times New Roman;Times;Serif"/>
                <w:b w:val="false"/>
                <w:i w:val="false"/>
                <w:caps w:val="false"/>
                <w:smallCaps w:val="false"/>
                <w:sz w:val="20"/>
              </w:rPr>
              <w:t>92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370" w:name="xdx_90F_eus-gaap--OtherShortTermBorrowin"/>
            <w:bookmarkEnd w:id="370"/>
            <w:r>
              <w:rPr>
                <w:rFonts w:ascii="Times New Roman;Times;Serif" w:hAnsi="Times New Roman;Times;Serif"/>
                <w:b/>
                <w:i w:val="false"/>
                <w:caps w:val="false"/>
                <w:smallCaps w:val="false"/>
                <w:sz w:val="20"/>
              </w:rPr>
              <w:t>3,275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371" w:name="xdx_901_eus-gaap--OtherShortTermBorrowin"/>
            <w:bookmarkEnd w:id="371"/>
            <w:r>
              <w:rPr>
                <w:rFonts w:ascii="Times New Roman;Times;Serif" w:hAnsi="Times New Roman;Times;Serif"/>
                <w:b/>
                <w:i w:val="false"/>
                <w:caps w:val="false"/>
                <w:smallCaps w:val="false"/>
                <w:sz w:val="20"/>
              </w:rPr>
              <w:t>4,436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a revolving credit facility with Kotak Mahindra Bank of INR </w:t>
      </w:r>
      <w:bookmarkStart w:id="372" w:name="xdx_90B_eus-gaap--LineOfCreditFacilityCu"/>
      <w:bookmarkEnd w:id="372"/>
      <w:r>
        <w:rPr>
          <w:rFonts w:ascii="Times New Roman;Times;Serif" w:hAnsi="Times New Roman;Times;Serif"/>
          <w:b w:val="false"/>
          <w:i w:val="false"/>
          <w:caps w:val="false"/>
          <w:smallCaps w:val="false"/>
          <w:sz w:val="20"/>
        </w:rPr>
        <w:t>320,000 (or approximately $</w:t>
      </w:r>
      <w:bookmarkStart w:id="373" w:name="xdx_90C_ecustom--ExchangeRate_iI_pn3n3_c"/>
      <w:bookmarkEnd w:id="373"/>
      <w:r>
        <w:rPr>
          <w:rFonts w:ascii="Times New Roman;Times;Serif" w:hAnsi="Times New Roman;Times;Serif"/>
          <w:b w:val="false"/>
          <w:i w:val="false"/>
          <w:caps w:val="false"/>
          <w:smallCaps w:val="false"/>
          <w:sz w:val="20"/>
        </w:rPr>
        <w:t>3,383 at the exchange rate in effect on June 30, 2026). The revolving facility is available for the Company’s operational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funded drawdown amount under the Company’s revolving facility as of June 30, 2026 and March 31, 2026, was $</w:t>
      </w:r>
      <w:bookmarkStart w:id="374" w:name="xdx_909_ecustom--FundDrawdownAmount_iI_p"/>
      <w:bookmarkEnd w:id="374"/>
      <w:r>
        <w:rPr>
          <w:rFonts w:ascii="Times New Roman;Times;Serif" w:hAnsi="Times New Roman;Times;Serif"/>
          <w:b w:val="false"/>
          <w:i w:val="false"/>
          <w:caps w:val="false"/>
          <w:smallCaps w:val="false"/>
          <w:sz w:val="20"/>
        </w:rPr>
        <w:t>962 and $</w:t>
      </w:r>
      <w:bookmarkStart w:id="375" w:name="xdx_90D_ecustom--FundDrawdownAmount_iI_p"/>
      <w:bookmarkEnd w:id="375"/>
      <w:r>
        <w:rPr>
          <w:rFonts w:ascii="Times New Roman;Times;Serif" w:hAnsi="Times New Roman;Times;Serif"/>
          <w:b w:val="false"/>
          <w:i w:val="false"/>
          <w:caps w:val="false"/>
          <w:smallCaps w:val="false"/>
          <w:sz w:val="20"/>
        </w:rPr>
        <w:t xml:space="preserve">1,601 respectively. The interest rate is equal to the 3-months Repo Rate plus a margin of </w:t>
      </w:r>
      <w:bookmarkStart w:id="376" w:name="xdx_900_eus-gaap--DebtInstrumentInterest"/>
      <w:bookmarkEnd w:id="376"/>
      <w:r>
        <w:rPr>
          <w:rFonts w:ascii="Times New Roman;Times;Serif" w:hAnsi="Times New Roman;Times;Serif"/>
          <w:b w:val="false"/>
          <w:i w:val="false"/>
          <w:caps w:val="false"/>
          <w:smallCaps w:val="false"/>
          <w:sz w:val="20"/>
        </w:rPr>
        <w:t>3.90% as of June 30, 2026, and March 31, 2026,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Date, WWAC modified the terms of payment owed to Shearman &amp; Sterling LLP, a multinational law firm providing legal consultancy services to WWAC. This resulted in a reduction in the total amount owed by WWAC to Shearman &amp; Sterling LLP from $4,800 of accounts payable to $4,000 promissory note, payable in four equal tranches. Subsequently, the promissory note was amended upon payment of $1,500, wherein the balance $2,500 was promised to be paid in two equal tranches. The Company entered into a Second Amended and Restated Promissory Note dated June 30, 2026, amending the terms of an existing $2,500 obligation to the party. The amendment provides for conditional debt forgiveness of up to $1,500, contingent on timely payment of future installments through February 2027. The Company recognized a gain on settlement of liability of $225 during the current quarter, representing the credit earned upon payment of $150 under the amended arrangement based on management’s assessment that the likelihood of default is remote and that the Company is expected to comply with the remaining payment obligations required to realize the debt forgiveness benefit. Accordingly, $2,125 owed to Shearman &amp; Sterling LLP has been disclosed as short-term debt, as ATI has an unconditional obligation to settle it within a period of less than twelve months from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77" w:name="xdx_904_ecustom--RenewedInsurancePolicyF"/>
      <w:bookmarkEnd w:id="377"/>
      <w:r>
        <w:rPr>
          <w:rFonts w:ascii="Times New Roman;Times;Serif" w:hAnsi="Times New Roman;Times;Serif"/>
          <w:b w:val="false"/>
          <w:i w:val="false"/>
          <w:caps w:val="false"/>
          <w:smallCaps w:val="false"/>
          <w:sz w:val="20"/>
        </w:rPr>
        <w:t>Effective November 6, 2025, the Company renewed its insurance for its directors and senior officers to cover $5,000 for the period of 12 months. The total premium payable in relation to this was $577 out of which $144 was paid upfront and $433 is payable in nine equal monthly instalments of $50. The arrangement represents a financing transaction where the premium payable has been deferred. The interest payable under the arrangement amounts to $13 and will be recognized as part of the interest expense through the condensed consolidated statement of operations when paid. During the three months ended June 30, 2026, the interest expense so recognized was $4. The balance premium payable as of June 30, 2026 is $99.</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the vehicle loan see Note 4 – Long-term debt.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78" w:name="xdx_800_eus-gaap--LongTermDebtTextBlock_"/>
      <w:bookmarkEnd w:id="378"/>
      <w:r>
        <w:rPr>
          <w:rFonts w:ascii="Times New Roman;Times;Serif" w:hAnsi="Times New Roman;Times;Serif"/>
          <w:b/>
          <w:i w:val="false"/>
          <w:caps w:val="false"/>
          <w:smallCaps w:val="false"/>
          <w:sz w:val="20"/>
        </w:rPr>
        <w:t xml:space="preserve">Note 4 - </w:t>
      </w:r>
      <w:bookmarkStart w:id="379" w:name="xdx_820_zzLZ5zJw7nfa"/>
      <w:bookmarkEnd w:id="379"/>
      <w:r>
        <w:rPr>
          <w:rFonts w:ascii="Times New Roman;Times;Serif" w:hAnsi="Times New Roman;Times;Serif"/>
          <w:b/>
          <w:i w:val="false"/>
          <w:caps w:val="false"/>
          <w:smallCaps w:val="false"/>
          <w:sz w:val="20"/>
        </w:rPr>
        <w:t>Long-term debt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consists of the following:</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80" w:name="xdx_891_eus-gaap--ScheduleOfDebtTableTex"/>
      <w:bookmarkStart w:id="381" w:name="xdx_891_eus-gaap--ScheduleOfDebtTableTex"/>
      <w:bookmarkEnd w:id="381"/>
    </w:p>
    <w:tbl>
      <w:tblPr>
        <w:tblW w:w="4785" w:type="dxa"/>
        <w:jc w:val="left"/>
        <w:tblInd w:w="0" w:type="dxa"/>
        <w:tblLayout w:type="fixed"/>
        <w:tblCellMar>
          <w:top w:w="0" w:type="dxa"/>
          <w:left w:w="0" w:type="dxa"/>
          <w:bottom w:w="0" w:type="dxa"/>
          <w:right w:w="0" w:type="dxa"/>
        </w:tblCellMar>
      </w:tblPr>
      <w:tblGrid>
        <w:gridCol w:w="2915"/>
        <w:gridCol w:w="60"/>
        <w:gridCol w:w="197"/>
        <w:gridCol w:w="528"/>
        <w:gridCol w:w="60"/>
        <w:gridCol w:w="60"/>
        <w:gridCol w:w="241"/>
        <w:gridCol w:w="649"/>
        <w:gridCol w:w="75"/>
      </w:tblGrid>
      <w:tr>
        <w:trPr/>
        <w:tc>
          <w:tcPr>
            <w:tcW w:w="291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382" w:name="xdx_8B0_z3q2ypi5ktl5"/>
            <w:bookmarkEnd w:id="382"/>
            <w:r>
              <w:rPr>
                <w:rFonts w:ascii="Times New Roman;Times;Serif" w:hAnsi="Times New Roman;Times;Serif"/>
                <w:b w:val="false"/>
                <w:i w:val="false"/>
                <w:caps w:val="false"/>
                <w:smallCaps w:val="false"/>
                <w:sz w:val="20"/>
              </w:rPr>
              <w:t>Schedule of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from the director of ATGBA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83" w:name="xdx_903_eus-gaap--LongTermDebtCurrent_iI"/>
            <w:bookmarkEnd w:id="383"/>
            <w:r>
              <w:rPr>
                <w:rFonts w:ascii="Times New Roman;Times;Serif" w:hAnsi="Times New Roman;Times;Serif"/>
                <w:b w:val="false"/>
                <w:i w:val="false"/>
                <w:caps w:val="false"/>
                <w:smallCaps w:val="false"/>
                <w:sz w:val="20"/>
              </w:rPr>
              <w:t>735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84" w:name="xdx_908_eus-gaap--LongTermDebtCurrent_iI"/>
            <w:bookmarkEnd w:id="384"/>
            <w:r>
              <w:rPr>
                <w:rFonts w:ascii="Times New Roman;Times;Serif" w:hAnsi="Times New Roman;Times;Serif"/>
                <w:b w:val="false"/>
                <w:i w:val="false"/>
                <w:caps w:val="false"/>
                <w:smallCaps w:val="false"/>
                <w:sz w:val="20"/>
              </w:rPr>
              <w:t>734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portion of vehicle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85" w:name="xdx_90C_eus-gaap--LongTermDebtCurrent_iI"/>
            <w:bookmarkEnd w:id="385"/>
            <w:r>
              <w:rPr>
                <w:rFonts w:ascii="Times New Roman;Times;Serif" w:hAnsi="Times New Roman;Times;Serif"/>
                <w:b w:val="false"/>
                <w:i w:val="false"/>
                <w:caps w:val="false"/>
                <w:smallCaps w:val="false"/>
                <w:sz w:val="20"/>
              </w:rPr>
              <w:t>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86" w:name="xdx_900_eus-gaap--LongTermDebtCurrent_iI"/>
            <w:bookmarkEnd w:id="386"/>
            <w:r>
              <w:rPr>
                <w:rFonts w:ascii="Times New Roman;Times;Serif" w:hAnsi="Times New Roman;Times;Serif"/>
                <w:b w:val="false"/>
                <w:i w:val="false"/>
                <w:caps w:val="false"/>
                <w:smallCaps w:val="false"/>
                <w:sz w:val="20"/>
              </w:rPr>
              <w:t>64</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387" w:name="xdx_90A_eus-gaap--LongTermDebtCurrent_iI"/>
            <w:bookmarkEnd w:id="387"/>
            <w:r>
              <w:rPr>
                <w:rFonts w:ascii="Times New Roman;Times;Serif" w:hAnsi="Times New Roman;Times;Serif"/>
                <w:b/>
                <w:i w:val="false"/>
                <w:caps w:val="false"/>
                <w:smallCaps w:val="false"/>
                <w:sz w:val="20"/>
              </w:rPr>
              <w:t>795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388" w:name="xdx_907_eus-gaap--LongTermDebtCurrent_iI"/>
            <w:bookmarkEnd w:id="388"/>
            <w:r>
              <w:rPr>
                <w:rFonts w:ascii="Times New Roman;Times;Serif" w:hAnsi="Times New Roman;Times;Serif"/>
                <w:b/>
                <w:i w:val="false"/>
                <w:caps w:val="false"/>
                <w:smallCaps w:val="false"/>
                <w:sz w:val="20"/>
              </w:rPr>
              <w:t>798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389" w:name="xdx_8A6_z0wJ6bfvXlAg"/>
      <w:bookmarkEnd w:id="38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the loan from the director of Aeries Technology Group Business Accelerators Private Limited (“ATGBA”), Mr. Vaibhav Rao, to a subsidiary company, see Note 8 – Related Party Transactions - point (g) and (d),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jc w:val="center"/>
        <w:rPr/>
      </w:pPr>
      <w:r>
        <w:rPr/>
        <w:t> </w:t>
      </w:r>
    </w:p>
    <w:p>
      <w:pPr>
        <w:pStyle w:val="TextBody"/>
        <w:bidi w:val="0"/>
        <w:jc w:val="left"/>
        <w:rPr>
          <w:caps w:val="false"/>
          <w:smallCaps w:val="false"/>
        </w:rPr>
      </w:pPr>
      <w:bookmarkStart w:id="390" w:name="xdx_230_zu3vFjP669f2"/>
      <w:bookmarkEnd w:id="39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loans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2022, the Company entered into a vehicle loan, secured by the vehicle, for INR 11,450 (or approximately $</w:t>
      </w:r>
      <w:bookmarkStart w:id="391" w:name="xdx_908_ecustom--ExchangeRate_iI_pn3n3_c"/>
      <w:bookmarkEnd w:id="391"/>
      <w:r>
        <w:rPr>
          <w:rFonts w:ascii="Times New Roman;Times;Serif" w:hAnsi="Times New Roman;Times;Serif"/>
          <w:b w:val="false"/>
          <w:i w:val="false"/>
          <w:caps w:val="false"/>
          <w:smallCaps w:val="false"/>
          <w:sz w:val="20"/>
        </w:rPr>
        <w:t xml:space="preserve">121 at the exchange rate in effect on June 30, 2026) at </w:t>
      </w:r>
      <w:bookmarkStart w:id="392" w:name="xdx_90C_eus-gaap--DebtInstrumentInterest"/>
      <w:bookmarkEnd w:id="392"/>
      <w:r>
        <w:rPr>
          <w:rFonts w:ascii="Times New Roman;Times;Serif" w:hAnsi="Times New Roman;Times;Serif"/>
          <w:b w:val="false"/>
          <w:i w:val="false"/>
          <w:caps w:val="false"/>
          <w:smallCaps w:val="false"/>
          <w:sz w:val="20"/>
        </w:rPr>
        <w:t xml:space="preserve">10.75% from Mercedes-Benz Financial Services India Pvt. Ltd. The Company is required to repay the loan in </w:t>
      </w:r>
      <w:bookmarkStart w:id="393" w:name="xdx_905_eus-gaap--DebtInstrumentTerm_dtM"/>
      <w:bookmarkEnd w:id="393"/>
      <w:r>
        <w:rPr>
          <w:rFonts w:ascii="Times New Roman;Times;Serif" w:hAnsi="Times New Roman;Times;Serif"/>
          <w:b w:val="false"/>
          <w:i w:val="false"/>
          <w:caps w:val="false"/>
          <w:smallCaps w:val="false"/>
          <w:sz w:val="20"/>
        </w:rPr>
        <w:t>48 monthly instalments beginning January 4,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 2024, the Company entered into a vehicle loan, secured by the vehicle, for INR 8,165 (or approximately $</w:t>
      </w:r>
      <w:bookmarkStart w:id="394" w:name="xdx_90D_ecustom--ExchangeRate_iI_pn3n3_c"/>
      <w:bookmarkEnd w:id="394"/>
      <w:r>
        <w:rPr>
          <w:rFonts w:ascii="Times New Roman;Times;Serif" w:hAnsi="Times New Roman;Times;Serif"/>
          <w:b w:val="false"/>
          <w:i w:val="false"/>
          <w:caps w:val="false"/>
          <w:smallCaps w:val="false"/>
          <w:sz w:val="20"/>
        </w:rPr>
        <w:t xml:space="preserve">86 at the exchange rate in effect on June 30, 2026) at </w:t>
      </w:r>
      <w:bookmarkStart w:id="395" w:name="xdx_90D_eus-gaap--DebtInstrumentInterest"/>
      <w:bookmarkEnd w:id="395"/>
      <w:r>
        <w:rPr>
          <w:rFonts w:ascii="Times New Roman;Times;Serif" w:hAnsi="Times New Roman;Times;Serif"/>
          <w:b w:val="false"/>
          <w:i w:val="false"/>
          <w:caps w:val="false"/>
          <w:smallCaps w:val="false"/>
          <w:sz w:val="20"/>
        </w:rPr>
        <w:t xml:space="preserve">10.25% from Mercedes-Benz Financial Services India Pvt. Ltd. The Company is required to repay the loan in </w:t>
      </w:r>
      <w:bookmarkStart w:id="396" w:name="xdx_903_eus-gaap--DebtInstrumentTerm_dtM"/>
      <w:bookmarkEnd w:id="396"/>
      <w:r>
        <w:rPr>
          <w:rFonts w:ascii="Times New Roman;Times;Serif" w:hAnsi="Times New Roman;Times;Serif"/>
          <w:b w:val="false"/>
          <w:i w:val="false"/>
          <w:caps w:val="false"/>
          <w:smallCaps w:val="false"/>
          <w:sz w:val="20"/>
        </w:rPr>
        <w:t>48 monthly instalments beginning September 4,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future maturities of debt by fiscal year are as follows: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97" w:name="xdx_894_esrt--ContractualObligationFisca"/>
      <w:bookmarkStart w:id="398" w:name="xdx_894_esrt--ContractualObligationFisca"/>
      <w:bookmarkEnd w:id="398"/>
    </w:p>
    <w:tbl>
      <w:tblPr>
        <w:tblW w:w="3585" w:type="dxa"/>
        <w:jc w:val="left"/>
        <w:tblInd w:w="0" w:type="dxa"/>
        <w:tblLayout w:type="fixed"/>
        <w:tblCellMar>
          <w:top w:w="0" w:type="dxa"/>
          <w:left w:w="0" w:type="dxa"/>
          <w:bottom w:w="0" w:type="dxa"/>
          <w:right w:w="0" w:type="dxa"/>
        </w:tblCellMar>
      </w:tblPr>
      <w:tblGrid>
        <w:gridCol w:w="2990"/>
        <w:gridCol w:w="60"/>
        <w:gridCol w:w="125"/>
        <w:gridCol w:w="335"/>
        <w:gridCol w:w="75"/>
      </w:tblGrid>
      <w:tr>
        <w:trPr/>
        <w:tc>
          <w:tcPr>
            <w:tcW w:w="29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399" w:name="xdx_8B3_ze7pQHkbgs34"/>
            <w:bookmarkEnd w:id="399"/>
            <w:r>
              <w:rPr>
                <w:rFonts w:ascii="Times New Roman;Times;Serif" w:hAnsi="Times New Roman;Times;Serif"/>
                <w:b w:val="false"/>
                <w:i w:val="false"/>
                <w:caps w:val="false"/>
                <w:smallCaps w:val="false"/>
                <w:sz w:val="20"/>
              </w:rPr>
              <w:t>Schedule of future maturities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00" w:name="xdx_497_20260630_znyKIAIypBZh"/>
            <w:bookmarkEnd w:id="400"/>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01" w:name="xdx_40D_eus-gaap--LongTermDebtMaturities"/>
            <w:bookmarkEnd w:id="401"/>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02" w:name="xdx_403_eus-gaap--LongTermDebtMaturities"/>
            <w:bookmarkEnd w:id="402"/>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03" w:name="xdx_40D_eus-gaap--LongTermDebtMaturities"/>
            <w:bookmarkEnd w:id="403"/>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04" w:name="xdx_409_eus-gaap--LongTermDebt_iTI_pn3n3"/>
            <w:bookmarkEnd w:id="404"/>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future maturities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405" w:name="xdx_8A7_zIJDlLpVK5o7"/>
      <w:bookmarkEnd w:id="405"/>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06" w:name="xdx_80D_eus-gaap--RevenueFromContractWit"/>
      <w:bookmarkEnd w:id="406"/>
      <w:r>
        <w:rPr>
          <w:rFonts w:ascii="Times New Roman;Times;Serif" w:hAnsi="Times New Roman;Times;Serif"/>
          <w:b/>
          <w:i w:val="false"/>
          <w:caps w:val="false"/>
          <w:smallCaps w:val="false"/>
          <w:sz w:val="20"/>
        </w:rPr>
        <w:t xml:space="preserve">Note 5 - </w:t>
      </w:r>
      <w:bookmarkStart w:id="407" w:name="xdx_825_z8sEAAAHAOCg"/>
      <w:bookmarkEnd w:id="407"/>
      <w:r>
        <w:rPr>
          <w:rFonts w:ascii="Times New Roman;Times;Serif" w:hAnsi="Times New Roman;Times;Serif"/>
          <w:b/>
          <w:i w:val="false"/>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and discusses revenues by customer location. The Company believes this disaggregation best depicts how the nature, amount, timing and uncertainty of our revenues and cash flows are affected by industry, market and other economic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disaggregation of the Company’s revenues by major customer location. Revenues are attributed to geographic regions based upon billed client location. Substantially all of the revenue in our North America region relates to operations in the United States.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08" w:name="xdx_886_eus-gaap--DisaggregationOfRevenu"/>
      <w:bookmarkStart w:id="409" w:name="xdx_886_eus-gaap--DisaggregationOfRevenu"/>
      <w:bookmarkEnd w:id="409"/>
    </w:p>
    <w:tbl>
      <w:tblPr>
        <w:tblW w:w="5078" w:type="dxa"/>
        <w:jc w:val="left"/>
        <w:tblInd w:w="0" w:type="dxa"/>
        <w:tblLayout w:type="fixed"/>
        <w:tblCellMar>
          <w:top w:w="0" w:type="dxa"/>
          <w:left w:w="0" w:type="dxa"/>
          <w:bottom w:w="0" w:type="dxa"/>
          <w:right w:w="0" w:type="dxa"/>
        </w:tblCellMar>
      </w:tblPr>
      <w:tblGrid>
        <w:gridCol w:w="3155"/>
        <w:gridCol w:w="60"/>
        <w:gridCol w:w="144"/>
        <w:gridCol w:w="681"/>
        <w:gridCol w:w="69"/>
        <w:gridCol w:w="69"/>
        <w:gridCol w:w="144"/>
        <w:gridCol w:w="681"/>
        <w:gridCol w:w="75"/>
      </w:tblGrid>
      <w:tr>
        <w:trPr/>
        <w:tc>
          <w:tcPr>
            <w:tcW w:w="315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410" w:name="xdx_8B7_zF2aP24XP74c"/>
            <w:bookmarkEnd w:id="410"/>
            <w:r>
              <w:rPr>
                <w:rFonts w:ascii="Times New Roman;Times;Serif" w:hAnsi="Times New Roman;Times;Serif"/>
                <w:b w:val="false"/>
                <w:i w:val="false"/>
                <w:caps w:val="false"/>
                <w:smallCaps w:val="false"/>
                <w:sz w:val="20"/>
              </w:rPr>
              <w:t>Schedule of disaggregation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11" w:name="xdx_902_eus-gaap--Revenues_pn3n3_c202604"/>
            <w:bookmarkEnd w:id="411"/>
            <w:r>
              <w:rPr>
                <w:rFonts w:ascii="Times New Roman;Times;Serif" w:hAnsi="Times New Roman;Times;Serif"/>
                <w:b w:val="false"/>
                <w:i w:val="false"/>
                <w:caps w:val="false"/>
                <w:smallCaps w:val="false"/>
                <w:sz w:val="20"/>
              </w:rPr>
              <w:t>18,592</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12" w:name="xdx_903_eus-gaap--Revenues_pn3n3_c202504"/>
            <w:bookmarkEnd w:id="412"/>
            <w:r>
              <w:rPr>
                <w:rFonts w:ascii="Times New Roman;Times;Serif" w:hAnsi="Times New Roman;Times;Serif"/>
                <w:b w:val="false"/>
                <w:i w:val="false"/>
                <w:caps w:val="false"/>
                <w:smallCaps w:val="false"/>
                <w:sz w:val="20"/>
              </w:rPr>
              <w:t>13,401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 Pacific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13" w:name="xdx_903_eus-gaap--Revenues_pn3n3_c202604"/>
            <w:bookmarkEnd w:id="413"/>
            <w:r>
              <w:rPr>
                <w:rFonts w:ascii="Times New Roman;Times;Serif" w:hAnsi="Times New Roman;Times;Serif"/>
                <w:b w:val="false"/>
                <w:i w:val="false"/>
                <w:caps w:val="false"/>
                <w:smallCaps w:val="false"/>
                <w:sz w:val="20"/>
              </w:rPr>
              <w:t>3,326</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14" w:name="xdx_90D_eus-gaap--Revenues_pn3n3_c202504"/>
            <w:bookmarkEnd w:id="414"/>
            <w:r>
              <w:rPr>
                <w:rFonts w:ascii="Times New Roman;Times;Serif" w:hAnsi="Times New Roman;Times;Serif"/>
                <w:b w:val="false"/>
                <w:i w:val="false"/>
                <w:caps w:val="false"/>
                <w:smallCaps w:val="false"/>
                <w:sz w:val="20"/>
              </w:rPr>
              <w:t>1,929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415" w:name="xdx_90E_eus-gaap--Revenues_pn3n3_c202604"/>
            <w:bookmarkEnd w:id="415"/>
            <w:r>
              <w:rPr>
                <w:rFonts w:ascii="Times New Roman;Times;Serif" w:hAnsi="Times New Roman;Times;Serif"/>
                <w:b/>
                <w:i w:val="false"/>
                <w:caps w:val="false"/>
                <w:smallCaps w:val="false"/>
                <w:sz w:val="20"/>
              </w:rPr>
              <w:t>21,918</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416" w:name="xdx_906_eus-gaap--Revenues_pn3n3_c202504"/>
            <w:bookmarkEnd w:id="416"/>
            <w:r>
              <w:rPr>
                <w:rFonts w:ascii="Times New Roman;Times;Serif" w:hAnsi="Times New Roman;Times;Serif"/>
                <w:b/>
                <w:i w:val="false"/>
                <w:caps w:val="false"/>
                <w:smallCaps w:val="false"/>
                <w:sz w:val="20"/>
              </w:rPr>
              <w:t>15,330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comprise amounts where the Company’s right to bill is contingent on something other than the passage of time. As of June 30, 2026 and March 31, 2026, the Company’s contract assets were $</w:t>
      </w:r>
      <w:bookmarkStart w:id="417" w:name="xdx_906_eus-gaap--ContractWithCustomerAs"/>
      <w:bookmarkEnd w:id="417"/>
      <w:r>
        <w:rPr>
          <w:rFonts w:ascii="Times New Roman;Times;Serif" w:hAnsi="Times New Roman;Times;Serif"/>
          <w:b w:val="false"/>
          <w:i w:val="false"/>
          <w:caps w:val="false"/>
          <w:smallCaps w:val="false"/>
          <w:sz w:val="20"/>
        </w:rPr>
        <w:t>544 and $</w:t>
      </w:r>
      <w:bookmarkStart w:id="418" w:name="xdx_90E_eus-gaap--ContractWithCustomerAs"/>
      <w:bookmarkEnd w:id="418"/>
      <w:r>
        <w:rPr>
          <w:rFonts w:ascii="Times New Roman;Times;Serif" w:hAnsi="Times New Roman;Times;Serif"/>
          <w:b w:val="false"/>
          <w:i w:val="false"/>
          <w:caps w:val="false"/>
          <w:smallCaps w:val="false"/>
          <w:sz w:val="20"/>
        </w:rPr>
        <w:t>166, respectively, and were recorded within “Prepaid expenses and other current assets”, net of allowance for credit losses”, on the condensed consolidated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or deferred revenue, comprise amounts collected from the Company’s customers for revenues not yet earned and amounts which are anticipated to be recorded as revenues when services are performed. The amount of revenue recognized in the three months ended June 30, 2026 and 2025 that was included in deferred revenue at the beginning of each period was $</w:t>
      </w:r>
      <w:bookmarkStart w:id="419" w:name="xdx_90C_eus-gaap--DeferredIncomeRevenueR"/>
      <w:bookmarkEnd w:id="419"/>
      <w:r>
        <w:rPr>
          <w:rFonts w:ascii="Times New Roman;Times;Serif" w:hAnsi="Times New Roman;Times;Serif"/>
          <w:b w:val="false"/>
          <w:i w:val="false"/>
          <w:caps w:val="false"/>
          <w:smallCaps w:val="false"/>
          <w:sz w:val="20"/>
        </w:rPr>
        <w:t>316 and $</w:t>
      </w:r>
      <w:bookmarkStart w:id="420" w:name="xdx_90F_eus-gaap--DeferredIncomeRevenueR"/>
      <w:bookmarkEnd w:id="420"/>
      <w:r>
        <w:rPr>
          <w:rFonts w:ascii="Times New Roman;Times;Serif" w:hAnsi="Times New Roman;Times;Serif"/>
          <w:b w:val="false"/>
          <w:i w:val="false"/>
          <w:caps w:val="false"/>
          <w:smallCaps w:val="false"/>
          <w:sz w:val="20"/>
        </w:rPr>
        <w:t>186,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March 31, 2026, the Company’s deferred revenue was $</w:t>
      </w:r>
      <w:bookmarkStart w:id="421" w:name="xdx_908_eus-gaap--DeferredRevenue_iI_pn3"/>
      <w:bookmarkEnd w:id="421"/>
      <w:r>
        <w:rPr>
          <w:rFonts w:ascii="Times New Roman;Times;Serif" w:hAnsi="Times New Roman;Times;Serif"/>
          <w:b w:val="false"/>
          <w:i w:val="false"/>
          <w:caps w:val="false"/>
          <w:smallCaps w:val="false"/>
          <w:sz w:val="20"/>
        </w:rPr>
        <w:t>3,298 and $</w:t>
      </w:r>
      <w:bookmarkStart w:id="422" w:name="xdx_900_eus-gaap--DeferredRevenue_iI_pn3"/>
      <w:bookmarkEnd w:id="422"/>
      <w:r>
        <w:rPr>
          <w:rFonts w:ascii="Times New Roman;Times;Serif" w:hAnsi="Times New Roman;Times;Serif"/>
          <w:b w:val="false"/>
          <w:i w:val="false"/>
          <w:caps w:val="false"/>
          <w:smallCaps w:val="false"/>
          <w:sz w:val="20"/>
        </w:rPr>
        <w:t xml:space="preserve">466, respectively, and was recorded within “Other current liabilities” on the condensed consolidated balance sheets. There was </w:t>
      </w:r>
      <w:bookmarkStart w:id="423" w:name="xdx_90F_eus-gaap--DeferredRevenueNoncurr"/>
      <w:bookmarkStart w:id="424" w:name="xdx_901_eus-gaap--DeferredRevenueNoncurr"/>
      <w:bookmarkEnd w:id="423"/>
      <w:bookmarkEnd w:id="424"/>
      <w:r>
        <w:rPr>
          <w:rFonts w:ascii="Times New Roman;Times;Serif" w:hAnsi="Times New Roman;Times;Serif"/>
          <w:b w:val="false"/>
          <w:i w:val="false"/>
          <w:caps w:val="false"/>
          <w:smallCaps w:val="false"/>
          <w:sz w:val="20"/>
        </w:rPr>
        <w:t>no deferred revenue classified as non-current as of June 30, 2026 and March 31,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jc w:val="center"/>
        <w:rPr/>
      </w:pPr>
      <w:r>
        <w:rPr/>
        <w:t> </w:t>
      </w:r>
    </w:p>
    <w:p>
      <w:pPr>
        <w:pStyle w:val="TextBody"/>
        <w:bidi w:val="0"/>
        <w:jc w:val="left"/>
        <w:rPr>
          <w:caps w:val="false"/>
          <w:smallCaps w:val="false"/>
        </w:rPr>
      </w:pPr>
      <w:bookmarkStart w:id="425" w:name="xdx_231_zkmpGMsM9vhl"/>
      <w:bookmarkEnd w:id="425"/>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Acquisition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and incremental costs incurred for acquiring contracts, such as sales commissions are contract acquisition costs and thereby classified under “Other current assets” and “Other assets” in the condensed consolidated balance sheets. Such costs are amortized over the expected duration of the relationship with customers and recorded under Selling and marketing expenses in the condensed consolidated statements of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26" w:name="xdx_80C_eus-gaap--CompensationAndEmploye"/>
      <w:bookmarkEnd w:id="426"/>
      <w:r>
        <w:rPr>
          <w:rFonts w:ascii="Times New Roman;Times;Serif" w:hAnsi="Times New Roman;Times;Serif"/>
          <w:b/>
          <w:i w:val="false"/>
          <w:caps w:val="false"/>
          <w:smallCaps w:val="false"/>
          <w:sz w:val="20"/>
        </w:rPr>
        <w:t xml:space="preserve">Note 6 - </w:t>
      </w:r>
      <w:bookmarkStart w:id="427" w:name="xdx_821_zK98BFS732fc"/>
      <w:bookmarkEnd w:id="427"/>
      <w:r>
        <w:rPr>
          <w:rFonts w:ascii="Times New Roman;Times;Serif" w:hAnsi="Times New Roman;Times;Serif"/>
          <w:b/>
          <w:i w:val="false"/>
          <w:caps w:val="false"/>
          <w:smallCaps w:val="false"/>
          <w:sz w:val="20"/>
        </w:rPr>
        <w:t>Employee Compensation and Benefits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employee benefit plans in the form of certain statutory and other programs covering its employees.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Defined Benefit Plan - Gratuity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 India have defined benefit plans comprising of gratuity under Payments of Gratuity Act, 1972 covering eligible employees in India. The present value of the defined benefit obligations and other long-term employee benefits is determined based on actuarial valuation using the projected unit credit method. The rate used to discount defined benefit obligation is determined by reference to market yields at the balance sheet date on Indian government bonds for the estimated term of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Actuarial gains or losses arising on account of experience adjustment and the effect of changes in actuarial assumptions are initially recognized in the condensed consolidated statements of comprehensive income, and the unrecognized actuarial loss is amortized to the condensed consolidated statements of operations over the average remaining service period of the active employees expected to receive benefits under the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“Other comprehensive income / (loss)” during the three months ended June 30, 2026 and 2025 were as follows: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28" w:name="xdx_89E_eus-gaap--ScheduleOfComprehensiv"/>
      <w:bookmarkStart w:id="429" w:name="xdx_89E_eus-gaap--ScheduleOfComprehensiv"/>
      <w:bookmarkEnd w:id="429"/>
    </w:p>
    <w:tbl>
      <w:tblPr>
        <w:tblW w:w="8112" w:type="dxa"/>
        <w:jc w:val="left"/>
        <w:tblInd w:w="0" w:type="dxa"/>
        <w:tblLayout w:type="fixed"/>
        <w:tblCellMar>
          <w:top w:w="0" w:type="dxa"/>
          <w:left w:w="0" w:type="dxa"/>
          <w:bottom w:w="0" w:type="dxa"/>
          <w:right w:w="0" w:type="dxa"/>
        </w:tblCellMar>
      </w:tblPr>
      <w:tblGrid>
        <w:gridCol w:w="6170"/>
        <w:gridCol w:w="60"/>
        <w:gridCol w:w="230"/>
        <w:gridCol w:w="535"/>
        <w:gridCol w:w="147"/>
        <w:gridCol w:w="110"/>
        <w:gridCol w:w="230"/>
        <w:gridCol w:w="535"/>
        <w:gridCol w:w="95"/>
      </w:tblGrid>
      <w:tr>
        <w:trPr/>
        <w:tc>
          <w:tcPr>
            <w:tcW w:w="617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430" w:name="xdx_8B5_z6rBenQypGz9"/>
            <w:bookmarkEnd w:id="430"/>
            <w:r>
              <w:rPr>
                <w:rFonts w:ascii="Times New Roman;Times;Serif" w:hAnsi="Times New Roman;Times;Serif"/>
                <w:b w:val="false"/>
                <w:i w:val="false"/>
                <w:caps w:val="false"/>
                <w:smallCaps w:val="false"/>
                <w:sz w:val="20"/>
              </w:rPr>
              <w:t>Schedule of other 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1" w:name="xdx_49A_20260401__20260630_z5r5j4BVEssa"/>
            <w:bookmarkEnd w:id="431"/>
          </w:p>
        </w:tc>
        <w:tc>
          <w:tcPr>
            <w:tcW w:w="5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2" w:name="xdx_497_20250401__20250630_zXn1uwU6z1Y3"/>
            <w:bookmarkEnd w:id="432"/>
          </w:p>
        </w:tc>
        <w:tc>
          <w:tcPr>
            <w:tcW w:w="5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7"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33" w:name="xdx_403_eus-gaap--OtherComprehensiveInco"/>
            <w:bookmarkEnd w:id="433"/>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actuarial (loss) / gain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4" w:name="xdx_406_ecustom--AmortizationOfNetActuar"/>
            <w:bookmarkEnd w:id="434"/>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net actuarial (loss) / gain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35" w:name="xdx_408_ecustom--DeferredTaxExpenseBenef"/>
            <w:bookmarkEnd w:id="435"/>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benefit /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36" w:name="xdx_40A_ecustom--UnrecognizedActuarialLo"/>
            <w:bookmarkEnd w:id="436"/>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Unrecognized actuarial gain / (loss) on employee benefit plan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1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jc w:val="left"/>
        <w:rPr>
          <w:caps w:val="false"/>
          <w:smallCaps w:val="false"/>
        </w:rPr>
      </w:pPr>
      <w:bookmarkStart w:id="437" w:name="xdx_8A2_zfhrnXsfFayi"/>
      <w:bookmarkEnd w:id="43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defined benefit plan costs for the three months ended June 30, 2026 and 2025 include the following components: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38" w:name="xdx_892_eus-gaap--ScheduleOfCostsOfRetir"/>
      <w:bookmarkStart w:id="439" w:name="xdx_892_eus-gaap--ScheduleOfCostsOfRetir"/>
      <w:bookmarkEnd w:id="439"/>
    </w:p>
    <w:tbl>
      <w:tblPr>
        <w:tblW w:w="5348" w:type="dxa"/>
        <w:jc w:val="left"/>
        <w:tblInd w:w="0" w:type="dxa"/>
        <w:tblLayout w:type="fixed"/>
        <w:tblCellMar>
          <w:top w:w="0" w:type="dxa"/>
          <w:left w:w="0" w:type="dxa"/>
          <w:bottom w:w="0" w:type="dxa"/>
          <w:right w:w="0" w:type="dxa"/>
        </w:tblCellMar>
      </w:tblPr>
      <w:tblGrid>
        <w:gridCol w:w="3425"/>
        <w:gridCol w:w="60"/>
        <w:gridCol w:w="215"/>
        <w:gridCol w:w="576"/>
        <w:gridCol w:w="103"/>
        <w:gridCol w:w="103"/>
        <w:gridCol w:w="215"/>
        <w:gridCol w:w="576"/>
        <w:gridCol w:w="75"/>
      </w:tblGrid>
      <w:tr>
        <w:trPr/>
        <w:tc>
          <w:tcPr>
            <w:tcW w:w="34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440" w:name="xdx_8B9_zLNd6XYclDIg"/>
            <w:bookmarkEnd w:id="440"/>
            <w:r>
              <w:rPr>
                <w:rFonts w:ascii="Times New Roman;Times;Serif" w:hAnsi="Times New Roman;Times;Serif"/>
                <w:b w:val="false"/>
                <w:i w:val="false"/>
                <w:caps w:val="false"/>
                <w:smallCaps w:val="false"/>
                <w:sz w:val="20"/>
              </w:rPr>
              <w:t>Schedule of net defined benefit plan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1" w:name="xdx_493_20260401__20260630_zQDEbwrLLHJi"/>
            <w:bookmarkEnd w:id="441"/>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2" w:name="xdx_49D_20250401__20250630_zZltaS7Vuyv7"/>
            <w:bookmarkEnd w:id="442"/>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43" w:name="xdx_40C_eus-gaap--DefinedBenefitPlanServ"/>
            <w:bookmarkEnd w:id="443"/>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44" w:name="xdx_406_ecustom--PastServiceCost_zFa9qM1"/>
            <w:bookmarkEnd w:id="444"/>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service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45" w:name="xdx_409_ecustom--DefinedBenefitPlanInter"/>
            <w:bookmarkEnd w:id="445"/>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46" w:name="xdx_409_ecustom--DefinedBenefitPlanAmort"/>
            <w:bookmarkEnd w:id="446"/>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net actuarial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47" w:name="xdx_408_eus-gaap--DefinedBenefitPlanNetP"/>
            <w:bookmarkEnd w:id="447"/>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defined benefit plan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448" w:name="xdx_8AA_zWlU3xuWJK3d"/>
      <w:bookmarkEnd w:id="448"/>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jc w:val="center"/>
        <w:rPr/>
      </w:pPr>
      <w:r>
        <w:rPr/>
        <w:t> </w:t>
      </w:r>
    </w:p>
    <w:p>
      <w:pPr>
        <w:pStyle w:val="TextBody"/>
        <w:bidi w:val="0"/>
        <w:jc w:val="left"/>
        <w:rPr>
          <w:caps w:val="false"/>
          <w:smallCaps w:val="false"/>
        </w:rPr>
      </w:pPr>
      <w:bookmarkStart w:id="449" w:name="xdx_237_zW8YCCUn8zF"/>
      <w:bookmarkEnd w:id="449"/>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50" w:name="xdx_803_eus-gaap--IncomeTaxDisclosureTex"/>
      <w:bookmarkEnd w:id="450"/>
      <w:r>
        <w:rPr>
          <w:rFonts w:ascii="Times New Roman;Times;Serif" w:hAnsi="Times New Roman;Times;Serif"/>
          <w:b/>
          <w:i w:val="false"/>
          <w:caps w:val="false"/>
          <w:smallCaps w:val="false"/>
          <w:sz w:val="20"/>
        </w:rPr>
        <w:t xml:space="preserve">Note 7 - </w:t>
      </w:r>
      <w:bookmarkStart w:id="451" w:name="xdx_822_zGuBZmthFr81"/>
      <w:bookmarkEnd w:id="451"/>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its tax provision for interim periods using an estimate of its annual effective tax rate adjusted for discrete items, if any, that are considered in the relevant period. The Company updated its estimate of the annual effective tax rate, and if its estimated tax rate changes, the Company will be making a cumulative adjustment.</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(“ETR”) is </w:t>
      </w:r>
      <w:bookmarkStart w:id="452" w:name="xdx_90E_eus-gaap--EffectiveIncomeTaxRate"/>
      <w:bookmarkEnd w:id="452"/>
      <w:r>
        <w:rPr>
          <w:rFonts w:ascii="Times New Roman;Times;Serif" w:hAnsi="Times New Roman;Times;Serif"/>
          <w:b w:val="false"/>
          <w:i w:val="false"/>
          <w:caps w:val="false"/>
          <w:smallCaps w:val="false"/>
          <w:sz w:val="20"/>
        </w:rPr>
        <w:t xml:space="preserve">28.4% and </w:t>
      </w:r>
      <w:bookmarkStart w:id="453" w:name="xdx_906_eus-gaap--EffectiveIncomeTaxRate"/>
      <w:bookmarkEnd w:id="453"/>
      <w:r>
        <w:rPr>
          <w:rFonts w:ascii="Times New Roman;Times;Serif" w:hAnsi="Times New Roman;Times;Serif"/>
          <w:b w:val="false"/>
          <w:i w:val="false"/>
          <w:caps w:val="false"/>
          <w:smallCaps w:val="false"/>
          <w:sz w:val="20"/>
        </w:rPr>
        <w:t>16.5% for the three months ended June 30, 2026 and 2025, respectively. For the three months ended June 30, 2026, the significant increase in the ETR was due to the non-recognition of deferred tax benefits related to losses in jurisdictions with lower tax rates as compared to three months ended June 30,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54" w:name="xdx_80A_eus-gaap--RelatedPartyTransactio"/>
      <w:bookmarkEnd w:id="454"/>
      <w:r>
        <w:rPr>
          <w:rFonts w:ascii="Times New Roman;Times;Serif" w:hAnsi="Times New Roman;Times;Serif"/>
          <w:b/>
          <w:i w:val="false"/>
          <w:caps w:val="false"/>
          <w:smallCaps w:val="false"/>
          <w:sz w:val="20"/>
        </w:rPr>
        <w:t xml:space="preserve">Note 8 - </w:t>
      </w:r>
      <w:bookmarkStart w:id="455" w:name="xdx_826_zKVzsknzmTO3"/>
      <w:bookmarkEnd w:id="455"/>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56" w:name="xdx_89F_eus-gaap--ScheduleOfRelatedParty"/>
      <w:bookmarkStart w:id="457" w:name="xdx_89F_eus-gaap--ScheduleOfRelatedParty"/>
      <w:bookmarkEnd w:id="457"/>
    </w:p>
    <w:tbl>
      <w:tblPr>
        <w:tblW w:w="10205" w:type="dxa"/>
        <w:jc w:val="left"/>
        <w:tblInd w:w="0" w:type="dxa"/>
        <w:tblLayout w:type="fixed"/>
        <w:tblCellMar>
          <w:top w:w="0" w:type="dxa"/>
          <w:left w:w="0" w:type="dxa"/>
          <w:bottom w:w="0" w:type="dxa"/>
          <w:right w:w="0" w:type="dxa"/>
        </w:tblCellMar>
      </w:tblPr>
      <w:tblGrid>
        <w:gridCol w:w="5765"/>
        <w:gridCol w:w="60"/>
        <w:gridCol w:w="4380"/>
      </w:tblGrid>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58" w:name="xdx_8B7_z8LAlsBoGGQ7"/>
            <w:bookmarkEnd w:id="458"/>
            <w:r>
              <w:rPr>
                <w:rFonts w:ascii="Times New Roman;Times;Serif" w:hAnsi="Times New Roman;Times;Serif"/>
                <w:b w:val="false"/>
                <w:i w:val="false"/>
                <w:caps w:val="false"/>
                <w:smallCaps w:val="false"/>
                <w:sz w:val="20"/>
              </w:rPr>
              <w:t>Schedule of related party transactions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3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the related party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3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59" w:name="xdx_90A_ecustom--NameOfRelatedParty_c202"/>
            <w:bookmarkEnd w:id="459"/>
            <w:r>
              <w:rPr>
                <w:rFonts w:ascii="Times New Roman;Times;Serif" w:hAnsi="Times New Roman;Times;Serif"/>
                <w:b w:val="false"/>
                <w:i w:val="false"/>
                <w:caps w:val="false"/>
                <w:smallCaps w:val="false"/>
                <w:sz w:val="20"/>
              </w:rPr>
              <w:t>Aark II Pte Limited</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0" w:name="xdx_900_ecustom--Relationship_c20260401_"/>
            <w:bookmarkEnd w:id="460"/>
            <w:r>
              <w:rPr>
                <w:rFonts w:ascii="Times New Roman;Times;Serif" w:hAnsi="Times New Roman;Times;Serif"/>
                <w:b w:val="false"/>
                <w:i w:val="false"/>
                <w:caps w:val="false"/>
                <w:smallCaps w:val="false"/>
                <w:sz w:val="20"/>
              </w:rPr>
              <w:t>Affiliate entity</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61" w:name="xdx_904_ecustom--NameOfRelatedParty_c202"/>
            <w:bookmarkEnd w:id="461"/>
            <w:r>
              <w:rPr>
                <w:rFonts w:ascii="Times New Roman;Times;Serif" w:hAnsi="Times New Roman;Times;Serif"/>
                <w:b w:val="false"/>
                <w:i w:val="false"/>
                <w:caps w:val="false"/>
                <w:smallCaps w:val="false"/>
                <w:sz w:val="20"/>
              </w:rPr>
              <w:t>Aeries Technology Products And Strategies Private Limited (“ATPSPL”)</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2" w:name="xdx_906_ecustom--Relationship_c20260401_"/>
            <w:bookmarkEnd w:id="462"/>
            <w:r>
              <w:rPr>
                <w:rFonts w:ascii="Times New Roman;Times;Serif" w:hAnsi="Times New Roman;Times;Serif"/>
                <w:b w:val="false"/>
                <w:i w:val="false"/>
                <w:caps w:val="false"/>
                <w:smallCaps w:val="false"/>
                <w:sz w:val="20"/>
              </w:rPr>
              <w:t>Affiliate entity</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63" w:name="xdx_90C_ecustom--NameOfRelatedParty_c202"/>
            <w:bookmarkEnd w:id="463"/>
            <w:r>
              <w:rPr>
                <w:rFonts w:ascii="Times New Roman;Times;Serif" w:hAnsi="Times New Roman;Times;Serif"/>
                <w:b w:val="false"/>
                <w:i w:val="false"/>
                <w:caps w:val="false"/>
                <w:smallCaps w:val="false"/>
                <w:sz w:val="20"/>
              </w:rPr>
              <w:t>Aeries Financial Technologies Private Limited</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4" w:name="xdx_904_ecustom--Relationship_c20260401_"/>
            <w:bookmarkEnd w:id="464"/>
            <w:r>
              <w:rPr>
                <w:rFonts w:ascii="Times New Roman;Times;Serif" w:hAnsi="Times New Roman;Times;Serif"/>
                <w:b w:val="false"/>
                <w:i w:val="false"/>
                <w:caps w:val="false"/>
                <w:smallCaps w:val="false"/>
                <w:sz w:val="20"/>
              </w:rPr>
              <w:t>Affiliate entity</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65" w:name="xdx_908_ecustom--NameOfRelatedParty_c202"/>
            <w:bookmarkEnd w:id="465"/>
            <w:r>
              <w:rPr>
                <w:rFonts w:ascii="Times New Roman;Times;Serif" w:hAnsi="Times New Roman;Times;Serif"/>
                <w:b w:val="false"/>
                <w:i w:val="false"/>
                <w:caps w:val="false"/>
                <w:smallCaps w:val="false"/>
                <w:sz w:val="20"/>
              </w:rPr>
              <w:t>Bhanix Finance And Investment Limited</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6" w:name="xdx_909_ecustom--Relationship_c20260401_"/>
            <w:bookmarkEnd w:id="466"/>
            <w:r>
              <w:rPr>
                <w:rFonts w:ascii="Times New Roman;Times;Serif" w:hAnsi="Times New Roman;Times;Serif"/>
                <w:b w:val="false"/>
                <w:i w:val="false"/>
                <w:caps w:val="false"/>
                <w:smallCaps w:val="false"/>
                <w:sz w:val="20"/>
              </w:rPr>
              <w:t>Affiliate entity</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67" w:name="xdx_907_ecustom--NameOfRelatedParty_c202"/>
            <w:bookmarkEnd w:id="467"/>
            <w:r>
              <w:rPr>
                <w:rFonts w:ascii="Times New Roman;Times;Serif" w:hAnsi="Times New Roman;Times;Serif"/>
                <w:b w:val="false"/>
                <w:i w:val="false"/>
                <w:caps w:val="false"/>
                <w:smallCaps w:val="false"/>
                <w:sz w:val="20"/>
              </w:rPr>
              <w:t>Ralak Consulting LLP</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8" w:name="xdx_900_ecustom--Relationship_c20260401_"/>
            <w:bookmarkEnd w:id="468"/>
            <w:r>
              <w:rPr>
                <w:rFonts w:ascii="Times New Roman;Times;Serif" w:hAnsi="Times New Roman;Times;Serif"/>
                <w:b w:val="false"/>
                <w:i w:val="false"/>
                <w:caps w:val="false"/>
                <w:smallCaps w:val="false"/>
                <w:sz w:val="20"/>
              </w:rPr>
              <w:t>Affiliate entity</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69" w:name="xdx_906_ecustom--NameOfRelatedParty_c202"/>
            <w:bookmarkEnd w:id="469"/>
            <w:r>
              <w:rPr>
                <w:rFonts w:ascii="Times New Roman;Times;Serif" w:hAnsi="Times New Roman;Times;Serif"/>
                <w:b w:val="false"/>
                <w:i w:val="false"/>
                <w:caps w:val="false"/>
                <w:smallCaps w:val="false"/>
                <w:sz w:val="20"/>
              </w:rPr>
              <w:t>Venu Raman Kumar</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0" w:name="xdx_902_ecustom--Relationship_c20260401_"/>
            <w:bookmarkEnd w:id="470"/>
            <w:r>
              <w:rPr>
                <w:rFonts w:ascii="Times New Roman;Times;Serif" w:hAnsi="Times New Roman;Times;Serif"/>
                <w:b w:val="false"/>
                <w:i w:val="false"/>
                <w:caps w:val="false"/>
                <w:smallCaps w:val="false"/>
                <w:sz w:val="20"/>
              </w:rPr>
              <w:t>Chairman of ATI’s Board and controlling shareholder</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71" w:name="xdx_90F_ecustom--NameOfRelatedParty_c202"/>
            <w:bookmarkEnd w:id="471"/>
            <w:r>
              <w:rPr>
                <w:rFonts w:ascii="Times New Roman;Times;Serif" w:hAnsi="Times New Roman;Times;Serif"/>
                <w:b w:val="false"/>
                <w:i w:val="false"/>
                <w:caps w:val="false"/>
                <w:smallCaps w:val="false"/>
                <w:sz w:val="20"/>
              </w:rPr>
              <w:t>Vaibhav Rao</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2" w:name="xdx_905_ecustom--Relationship_c20260401_"/>
            <w:bookmarkEnd w:id="472"/>
            <w:r>
              <w:rPr>
                <w:rFonts w:ascii="Times New Roman;Times;Serif" w:hAnsi="Times New Roman;Times;Serif"/>
                <w:b w:val="false"/>
                <w:i w:val="false"/>
                <w:caps w:val="false"/>
                <w:smallCaps w:val="false"/>
                <w:sz w:val="20"/>
              </w:rPr>
              <w:t>Members of immediate families of Venu Raman Kumar</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73" w:name="xdx_90C_ecustom--NameOfRelatedParty_c202"/>
            <w:bookmarkEnd w:id="473"/>
            <w:r>
              <w:rPr>
                <w:rFonts w:ascii="Times New Roman;Times;Serif" w:hAnsi="Times New Roman;Times;Serif"/>
                <w:b w:val="false"/>
                <w:i w:val="false"/>
                <w:caps w:val="false"/>
                <w:smallCaps w:val="false"/>
                <w:sz w:val="20"/>
              </w:rPr>
              <w:t>Bhisham (Ajay) Khare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4" w:name="xdx_90E_ecustom--Relationship_c20260401_"/>
            <w:bookmarkEnd w:id="474"/>
            <w:r>
              <w:rPr>
                <w:rFonts w:ascii="Times New Roman;Times;Serif" w:hAnsi="Times New Roman;Times;Serif"/>
                <w:b w:val="false"/>
                <w:i w:val="false"/>
                <w:caps w:val="false"/>
                <w:smallCaps w:val="false"/>
                <w:sz w:val="20"/>
              </w:rPr>
              <w:t>Key managerial personnel</w:t>
            </w:r>
          </w:p>
        </w:tc>
      </w:tr>
    </w:tbl>
    <w:p>
      <w:pPr>
        <w:pStyle w:val="TextBody"/>
        <w:bidi w:val="0"/>
        <w:jc w:val="left"/>
        <w:rPr>
          <w:caps w:val="false"/>
          <w:smallCaps w:val="false"/>
        </w:rPr>
      </w:pPr>
      <w:bookmarkStart w:id="475" w:name="xdx_8A7_zi69QOp7okKl"/>
      <w:bookmarkEnd w:id="47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significant transactions and balances due to and from related parties are as follows: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6" w:name="xdx_895_ecustom--ScheduleOfSignificantTr"/>
      <w:bookmarkStart w:id="477" w:name="xdx_895_ecustom--ScheduleOfSignificantTr"/>
      <w:bookmarkEnd w:id="477"/>
    </w:p>
    <w:tbl>
      <w:tblPr>
        <w:tblW w:w="8453" w:type="dxa"/>
        <w:jc w:val="left"/>
        <w:tblInd w:w="0" w:type="dxa"/>
        <w:tblLayout w:type="fixed"/>
        <w:tblCellMar>
          <w:top w:w="0" w:type="dxa"/>
          <w:left w:w="0" w:type="dxa"/>
          <w:bottom w:w="0" w:type="dxa"/>
          <w:right w:w="0" w:type="dxa"/>
        </w:tblCellMar>
      </w:tblPr>
      <w:tblGrid>
        <w:gridCol w:w="6530"/>
        <w:gridCol w:w="60"/>
        <w:gridCol w:w="215"/>
        <w:gridCol w:w="576"/>
        <w:gridCol w:w="103"/>
        <w:gridCol w:w="103"/>
        <w:gridCol w:w="215"/>
        <w:gridCol w:w="576"/>
        <w:gridCol w:w="75"/>
      </w:tblGrid>
      <w:tr>
        <w:trPr/>
        <w:tc>
          <w:tcPr>
            <w:tcW w:w="653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478" w:name="xdx_8B0_zCvlw0plssbf"/>
            <w:bookmarkEnd w:id="478"/>
            <w:r>
              <w:rPr>
                <w:rFonts w:ascii="Times New Roman;Times;Serif" w:hAnsi="Times New Roman;Times;Serif"/>
                <w:b w:val="false"/>
                <w:i w:val="false"/>
                <w:caps w:val="false"/>
                <w:smallCaps w:val="false"/>
                <w:sz w:val="20"/>
              </w:rPr>
              <w:t>Schedule of significant transactions and balances due to and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sharing arrangements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Bhanix Finance And Investment Limited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79" w:name="xdx_980_ecustom--CostSharingArrangements"/>
            <w:bookmarkEnd w:id="479"/>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80" w:name="xdx_98B_ecustom--CostSharingArrangements"/>
            <w:bookmarkEnd w:id="480"/>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Products And Strategies Private Limited (d)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1" w:name="xdx_984_eus-gaap--InterestExpense_pn3n3_"/>
            <w:bookmarkEnd w:id="481"/>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2" w:name="xdx_98D_eus-gaap--InterestExpense_pn3n3_"/>
            <w:bookmarkEnd w:id="482"/>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Vaibhav Rao (g)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3" w:name="xdx_983_eus-gaap--InterestExpense_pn3n3_"/>
            <w:bookmarkEnd w:id="483"/>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4" w:name="xdx_985_eus-gaap--InterestExpense_pn3n3_"/>
            <w:bookmarkEnd w:id="484"/>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Financial Technologies Private Limited (f), (h)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5" w:name="xdx_984_eus-gaap--InterestAndOtherIncome"/>
            <w:bookmarkEnd w:id="485"/>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6" w:name="xdx_984_eus-gaap--InterestAndOtherIncome"/>
            <w:bookmarkEnd w:id="486"/>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Products And Strategies Private Limited (e), (h)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7" w:name="xdx_98B_eus-gaap--InterestAndOtherIncome"/>
            <w:bookmarkEnd w:id="487"/>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8" w:name="xdx_98E_eus-gaap--InterestAndOtherIncome"/>
            <w:bookmarkEnd w:id="488"/>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and professional fees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Ralak Consulting LLP (c)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9" w:name="xdx_98C_eus-gaap--ProfessionalFees_pn3n3"/>
            <w:bookmarkEnd w:id="489"/>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0" w:name="xdx_98E_eus-gaap--ProfessionalFees_pn3n3"/>
            <w:bookmarkEnd w:id="490"/>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consultancy service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Aark II Pte Limited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1" w:name="xdx_986_eus-gaap--PaymentForManagementFe"/>
            <w:bookmarkEnd w:id="491"/>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2" w:name="xdx_98E_eus-gaap--PaymentForManagementFe"/>
            <w:bookmarkEnd w:id="492"/>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 management and support services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Products And Strategies Private Limited (i)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3" w:name="xdx_98D_eus-gaap--OfficersCompensation_p"/>
            <w:bookmarkEnd w:id="493"/>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4" w:name="xdx_988_eus-gaap--OfficersCompensation_p"/>
            <w:bookmarkEnd w:id="494"/>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jc w:val="center"/>
        <w:rPr/>
      </w:pPr>
      <w:r>
        <w:rPr/>
        <w:t> </w:t>
      </w:r>
    </w:p>
    <w:p>
      <w:pPr>
        <w:pStyle w:val="TextBody"/>
        <w:bidi w:val="0"/>
        <w:jc w:val="left"/>
        <w:rPr>
          <w:caps w:val="false"/>
          <w:smallCaps w:val="false"/>
        </w:rPr>
      </w:pPr>
      <w:bookmarkStart w:id="495" w:name="xdx_23F_zk9fNlslLo9h"/>
      <w:bookmarkEnd w:id="495"/>
      <w:r>
        <w:rPr>
          <w:caps w:val="false"/>
          <w:smallCaps w:val="false"/>
        </w:rPr>
        <w:t> </w:t>
      </w:r>
    </w:p>
    <w:tbl>
      <w:tblPr>
        <w:tblW w:w="8503" w:type="dxa"/>
        <w:jc w:val="left"/>
        <w:tblInd w:w="0" w:type="dxa"/>
        <w:tblLayout w:type="fixed"/>
        <w:tblCellMar>
          <w:top w:w="0" w:type="dxa"/>
          <w:left w:w="0" w:type="dxa"/>
          <w:bottom w:w="0" w:type="dxa"/>
          <w:right w:w="0" w:type="dxa"/>
        </w:tblCellMar>
      </w:tblPr>
      <w:tblGrid>
        <w:gridCol w:w="6635"/>
        <w:gridCol w:w="60"/>
        <w:gridCol w:w="148"/>
        <w:gridCol w:w="576"/>
        <w:gridCol w:w="60"/>
        <w:gridCol w:w="60"/>
        <w:gridCol w:w="182"/>
        <w:gridCol w:w="707"/>
        <w:gridCol w:w="75"/>
      </w:tblGrid>
      <w:tr>
        <w:trPr/>
        <w:tc>
          <w:tcPr>
            <w:tcW w:w="6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Aark II Pte Limited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96" w:name="xdx_981_eus-gaap--AccountsReceivableNet_"/>
            <w:bookmarkEnd w:id="496"/>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97" w:name="xdx_984_eus-gaap--AccountsReceivableNet_"/>
            <w:bookmarkEnd w:id="497"/>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Bhanix Finance And Investment Limited (b)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98" w:name="xdx_98E_eus-gaap--AccountsReceivableNet_"/>
            <w:bookmarkEnd w:id="498"/>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99" w:name="xdx_987_eus-gaap--AccountsReceivableNet_"/>
            <w:bookmarkEnd w:id="499"/>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Ralak Consulting LLP (c)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0" w:name="xdx_98C_eus-gaap--AccountsPayableCurrent"/>
            <w:bookmarkEnd w:id="500"/>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1" w:name="xdx_987_eus-gaap--AccountsPayableCurrent"/>
            <w:bookmarkEnd w:id="501"/>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Prepaid expense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Mr. Bhisham (Ajay) Khare (j)</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2" w:name="xdx_907_eus-gaap--PrepaidExpenseCurrent_"/>
            <w:bookmarkEnd w:id="502"/>
            <w:r>
              <w:rPr>
                <w:rFonts w:ascii="Times New Roman;Times;Serif" w:hAnsi="Times New Roman;Times;Serif"/>
                <w:b w:val="false"/>
                <w:i w:val="false"/>
                <w:caps w:val="false"/>
                <w:smallCaps w:val="false"/>
                <w:sz w:val="20"/>
              </w:rPr>
              <w:t>741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3" w:name="xdx_90E_eus-gaap--PrepaidExpenseCurrent_"/>
            <w:bookmarkEnd w:id="503"/>
            <w:r>
              <w:rPr>
                <w:rFonts w:ascii="Times New Roman;Times;Serif" w:hAnsi="Times New Roman;Times;Serif"/>
                <w:b w:val="false"/>
                <w:i w:val="false"/>
                <w:caps w:val="false"/>
                <w:smallCaps w:val="false"/>
                <w:sz w:val="20"/>
              </w:rPr>
              <w:t>741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Remittance in transit – Inwards (k)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4" w:name="xdx_900_eus-gaap--PrepaidExpenseCurrent_"/>
            <w:bookmarkEnd w:id="504"/>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5" w:name="xdx_901_eus-gaap--PrepaidExpenseCurrent_"/>
            <w:bookmarkEnd w:id="505"/>
            <w:r>
              <w:rPr>
                <w:rFonts w:ascii="Times New Roman;Times;Serif" w:hAnsi="Times New Roman;Times;Serif"/>
                <w:b w:val="false"/>
                <w:i w:val="false"/>
                <w:caps w:val="false"/>
                <w:smallCaps w:val="false"/>
                <w:sz w:val="20"/>
              </w:rPr>
              <w:t>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payable (classified under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Products And Strategies Private Limited (d)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6" w:name="xdx_901_eus-gaap--AccruedLiabilitiesCurr"/>
            <w:bookmarkEnd w:id="506"/>
            <w:r>
              <w:rPr>
                <w:rFonts w:ascii="Times New Roman;Times;Serif" w:hAnsi="Times New Roman;Times;Serif"/>
                <w:b w:val="false"/>
                <w:i w:val="false"/>
                <w:caps w:val="false"/>
                <w:smallCaps w:val="false"/>
                <w:sz w:val="20"/>
              </w:rPr>
              <w:t>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7" w:name="xdx_901_eus-gaap--AccruedLiabilitiesCurr"/>
            <w:bookmarkEnd w:id="507"/>
            <w:r>
              <w:rPr>
                <w:rFonts w:ascii="Times New Roman;Times;Serif" w:hAnsi="Times New Roman;Times;Serif"/>
                <w:b w:val="false"/>
                <w:i w:val="false"/>
                <w:caps w:val="false"/>
                <w:smallCaps w:val="false"/>
                <w:sz w:val="20"/>
              </w:rPr>
              <w:t>41</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receivable (classified under 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Products And Strategies Private Limited (e)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8" w:name="xdx_908_eus-gaap--InterestReceivableAndO"/>
            <w:bookmarkEnd w:id="508"/>
            <w:r>
              <w:rPr>
                <w:rFonts w:ascii="Times New Roman;Times;Serif" w:hAnsi="Times New Roman;Times;Serif"/>
                <w:b w:val="false"/>
                <w:i w:val="false"/>
                <w:caps w:val="false"/>
                <w:smallCaps w:val="false"/>
                <w:sz w:val="20"/>
              </w:rPr>
              <w:t>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9" w:name="xdx_90C_eus-gaap--InterestReceivableAndO"/>
            <w:bookmarkEnd w:id="509"/>
            <w:r>
              <w:rPr>
                <w:rFonts w:ascii="Times New Roman;Times;Serif" w:hAnsi="Times New Roman;Times;Serif"/>
                <w:b w:val="false"/>
                <w:i w:val="false"/>
                <w:caps w:val="false"/>
                <w:smallCaps w:val="false"/>
                <w:sz w:val="20"/>
              </w:rPr>
              <w:t>28</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0.001% Series-A Redeemable preference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Financial Technologies Private Limited (h)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0" w:name="xdx_906_ecustom--InvestmentInSeriesaRede"/>
            <w:bookmarkEnd w:id="510"/>
            <w:r>
              <w:rPr>
                <w:rFonts w:ascii="Times New Roman;Times;Serif" w:hAnsi="Times New Roman;Times;Serif"/>
                <w:b w:val="false"/>
                <w:i w:val="false"/>
                <w:caps w:val="false"/>
                <w:smallCaps w:val="false"/>
                <w:sz w:val="20"/>
              </w:rPr>
              <w:t>1,161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1" w:name="xdx_905_ecustom--InvestmentInSeriesaRede"/>
            <w:bookmarkEnd w:id="511"/>
            <w:r>
              <w:rPr>
                <w:rFonts w:ascii="Times New Roman;Times;Serif" w:hAnsi="Times New Roman;Times;Serif"/>
                <w:b w:val="false"/>
                <w:i w:val="false"/>
                <w:caps w:val="false"/>
                <w:smallCaps w:val="false"/>
                <w:sz w:val="20"/>
              </w:rPr>
              <w:t>1,110</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10% Cumulative redeemable preference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Products And Strategies Private Limited (h)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2" w:name="xdx_904_ecustom--InvestmentInCumulativeR"/>
            <w:bookmarkEnd w:id="512"/>
            <w:r>
              <w:rPr>
                <w:rFonts w:ascii="Times New Roman;Times;Serif" w:hAnsi="Times New Roman;Times;Serif"/>
                <w:b w:val="false"/>
                <w:i w:val="false"/>
                <w:caps w:val="false"/>
                <w:smallCaps w:val="false"/>
                <w:sz w:val="20"/>
              </w:rPr>
              <w:t>797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3" w:name="xdx_902_ecustom--InvestmentInCumulativeR"/>
            <w:bookmarkEnd w:id="513"/>
            <w:r>
              <w:rPr>
                <w:rFonts w:ascii="Times New Roman;Times;Serif" w:hAnsi="Times New Roman;Times;Serif"/>
                <w:b w:val="false"/>
                <w:i w:val="false"/>
                <w:caps w:val="false"/>
                <w:smallCaps w:val="false"/>
                <w:sz w:val="20"/>
              </w:rPr>
              <w:t>786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from Members of immediate families of Venu Raman Kumar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Vaibhav Rao (g)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4" w:name="xdx_90B_ecustom--LoanFromMembersOfImmedi"/>
            <w:bookmarkEnd w:id="514"/>
            <w:r>
              <w:rPr>
                <w:rFonts w:ascii="Times New Roman;Times;Serif" w:hAnsi="Times New Roman;Times;Serif"/>
                <w:b w:val="false"/>
                <w:i w:val="false"/>
                <w:caps w:val="false"/>
                <w:smallCaps w:val="false"/>
                <w:sz w:val="20"/>
              </w:rPr>
              <w:t>735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5" w:name="xdx_909_ecustom--LoanFromMembersOfImmedi"/>
            <w:bookmarkEnd w:id="515"/>
            <w:r>
              <w:rPr>
                <w:rFonts w:ascii="Times New Roman;Times;Serif" w:hAnsi="Times New Roman;Times;Serif"/>
                <w:b w:val="false"/>
                <w:i w:val="false"/>
                <w:caps w:val="false"/>
                <w:smallCaps w:val="false"/>
                <w:sz w:val="20"/>
              </w:rPr>
              <w:t>734</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to affiliates (classified under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Financial Technologies Private Limited (f)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6" w:name="xdx_906_ecustom--LoansToAffiliatesClassi"/>
            <w:bookmarkEnd w:id="516"/>
            <w:r>
              <w:rPr>
                <w:rFonts w:ascii="Times New Roman;Times;Serif" w:hAnsi="Times New Roman;Times;Serif"/>
                <w:b w:val="false"/>
                <w:i w:val="false"/>
                <w:caps w:val="false"/>
                <w:smallCaps w:val="false"/>
                <w:sz w:val="20"/>
              </w:rPr>
              <w:t>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7" w:name="xdx_90D_ecustom--LoansToAffiliatesClassi"/>
            <w:bookmarkEnd w:id="517"/>
            <w:r>
              <w:rPr>
                <w:rFonts w:ascii="Times New Roman;Times;Serif" w:hAnsi="Times New Roman;Times;Serif"/>
                <w:b w:val="false"/>
                <w:i w:val="false"/>
                <w:caps w:val="false"/>
                <w:smallCaps w:val="false"/>
                <w:sz w:val="20"/>
              </w:rPr>
              <w:t>92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Products And Strategies Private Limited (e)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8" w:name="xdx_907_ecustom--LoansToAffiliatesClassi"/>
            <w:bookmarkEnd w:id="518"/>
            <w:r>
              <w:rPr>
                <w:rFonts w:ascii="Times New Roman;Times;Serif" w:hAnsi="Times New Roman;Times;Serif"/>
                <w:b w:val="false"/>
                <w:i w:val="false"/>
                <w:caps w:val="false"/>
                <w:smallCaps w:val="false"/>
                <w:sz w:val="20"/>
              </w:rPr>
              <w:t>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9" w:name="xdx_900_ecustom--LoansToAffiliatesClassi"/>
            <w:bookmarkEnd w:id="519"/>
            <w:r>
              <w:rPr>
                <w:rFonts w:ascii="Times New Roman;Times;Serif" w:hAnsi="Times New Roman;Times;Serif"/>
                <w:b w:val="false"/>
                <w:i w:val="false"/>
                <w:caps w:val="false"/>
                <w:smallCaps w:val="false"/>
                <w:sz w:val="20"/>
              </w:rPr>
              <w:t>148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to Vendor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Products And Strategies Private Limited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20" w:name="xdx_90E_ecustom--AdvanceToVendors_iI_pn3"/>
            <w:bookmarkEnd w:id="520"/>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21" w:name="xdx_90F_ecustom--AdvanceToVendors_iI_pn3"/>
            <w:bookmarkEnd w:id="521"/>
            <w:r>
              <w:rPr>
                <w:rFonts w:ascii="Times New Roman;Times;Serif" w:hAnsi="Times New Roman;Times;Serif"/>
                <w:b w:val="false"/>
                <w:i w:val="false"/>
                <w:caps w:val="false"/>
                <w:smallCaps w:val="false"/>
                <w:sz w:val="20"/>
              </w:rPr>
              <w:t>2</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to Mr. Bhisham (Ajay) Khare (l)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22" w:name="xdx_905_ecustom--OtherPayables_iI_pn3n3_"/>
            <w:bookmarkEnd w:id="522"/>
            <w:r>
              <w:rPr>
                <w:rFonts w:ascii="Times New Roman;Times;Serif" w:hAnsi="Times New Roman;Times;Serif"/>
                <w:b w:val="false"/>
                <w:i w:val="false"/>
                <w:caps w:val="false"/>
                <w:smallCaps w:val="false"/>
                <w:sz w:val="20"/>
              </w:rPr>
              <w:t>337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23" w:name="xdx_900_ecustom--OtherPayables_iI_pn3n3_"/>
            <w:bookmarkEnd w:id="523"/>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4" w:name="xdx_F01_zUGJGCwOAGqh"/>
            <w:bookmarkEnd w:id="524"/>
            <w:r>
              <w:rPr>
                <w:rFonts w:ascii="Times New Roman;Times;Serif" w:hAnsi="Times New Roman;Times;Serif"/>
                <w:b w:val="false"/>
                <w:i w:val="false"/>
                <w:caps w:val="false"/>
                <w:smallCaps w:val="false"/>
                <w:sz w:val="20"/>
              </w:rPr>
              <w:t>(a)</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5" w:name="xdx_F13_zBO3LKwHRezk"/>
            <w:bookmarkEnd w:id="525"/>
            <w:r>
              <w:rPr>
                <w:rFonts w:ascii="Times New Roman;Times;Serif" w:hAnsi="Times New Roman;Times;Serif"/>
                <w:b w:val="false"/>
                <w:i w:val="false"/>
                <w:caps w:val="false"/>
                <w:smallCaps w:val="false"/>
                <w:sz w:val="20"/>
              </w:rPr>
              <w:t>The Company provided management consulting services to Aark II Pte Ltd under an agreement dated June 21, 2021 and its amendments thereof.</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6" w:name="xdx_F06_zqIcFf6bsQJe"/>
            <w:bookmarkEnd w:id="526"/>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7" w:name="xdx_F12_z3Tkiuw2KWr3"/>
            <w:bookmarkEnd w:id="527"/>
            <w:r>
              <w:rPr>
                <w:rFonts w:ascii="Times New Roman;Times;Serif" w:hAnsi="Times New Roman;Times;Serif"/>
                <w:b w:val="false"/>
                <w:i w:val="false"/>
                <w:caps w:val="false"/>
                <w:smallCaps w:val="false"/>
                <w:sz w:val="20"/>
              </w:rPr>
              <w:t>The Company was in a cost sharing arrangement with Aeries Financial Technologies Private Ltd and Bhanix Finance and Investment Ltd under separate agreements dated April 1, 2020. The cost sharing arrangement included costs in the areas of office management, IT and operations. The agreements are for a 36-month term with auto renewals after the original term.</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8" w:name="xdx_F06_zVBtBV1DvfFh"/>
            <w:bookmarkEnd w:id="528"/>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9" w:name="xdx_F1C_znaF436Xcvmg"/>
            <w:bookmarkEnd w:id="529"/>
            <w:r>
              <w:rPr>
                <w:rFonts w:ascii="Times New Roman;Times;Serif" w:hAnsi="Times New Roman;Times;Serif"/>
                <w:b w:val="false"/>
                <w:i w:val="false"/>
                <w:caps w:val="false"/>
                <w:smallCaps w:val="false"/>
                <w:sz w:val="20"/>
              </w:rPr>
              <w:t>The Company availed consulting services including implementation services in business restructuring, risk management, feasibility studies, mergers &amp; acquisitions etc. from Ralak Consulting LLP via agreement dated April 1, 2022.</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0" w:name="xdx_F08_zqUR0TdMluH7"/>
            <w:bookmarkEnd w:id="530"/>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1" w:name="xdx_F18_zQgU77BEkkUa"/>
            <w:bookmarkEnd w:id="531"/>
            <w:r>
              <w:rPr>
                <w:rFonts w:ascii="Times New Roman;Times;Serif" w:hAnsi="Times New Roman;Times;Serif"/>
                <w:b w:val="false"/>
                <w:i w:val="false"/>
                <w:caps w:val="false"/>
                <w:smallCaps w:val="false"/>
                <w:sz w:val="20"/>
              </w:rPr>
              <w:t>The Company incurred interest expense in relation to loans taken from ATPSPL, which were borrowed to meet working capital requirements. The loans were for a 3-year term and were issued at an interest rate of 12% per annum.</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2" w:name="xdx_F00_z2kPKG2j3eGa"/>
            <w:bookmarkEnd w:id="532"/>
            <w:r>
              <w:rPr>
                <w:rFonts w:ascii="Times New Roman;Times;Serif" w:hAnsi="Times New Roman;Times;Serif"/>
                <w:b w:val="false"/>
                <w:i w:val="false"/>
                <w:caps w:val="false"/>
                <w:smallCaps w:val="false"/>
                <w:sz w:val="20"/>
              </w:rPr>
              <w:t>(e)</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3" w:name="xdx_F10_zwgWHjc1iLQ2"/>
            <w:bookmarkEnd w:id="533"/>
            <w:r>
              <w:rPr>
                <w:rFonts w:ascii="Times New Roman;Times;Serif" w:hAnsi="Times New Roman;Times;Serif"/>
                <w:b w:val="false"/>
                <w:i w:val="false"/>
                <w:caps w:val="false"/>
                <w:smallCaps w:val="false"/>
                <w:sz w:val="20"/>
              </w:rPr>
              <w:t>The Company received interest income in relation to loans given to affiliates to support their working capital requirements. The loans were for a 3-year term and issued at an interest rate of 12% per annum.</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4" w:name="xdx_F03_z9LlIfVDWE35"/>
            <w:bookmarkEnd w:id="534"/>
            <w:r>
              <w:rPr>
                <w:rFonts w:ascii="Times New Roman;Times;Serif" w:hAnsi="Times New Roman;Times;Serif"/>
                <w:b w:val="false"/>
                <w:i w:val="false"/>
                <w:caps w:val="false"/>
                <w:smallCaps w:val="false"/>
                <w:sz w:val="20"/>
              </w:rPr>
              <w:t>(f)</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5" w:name="xdx_F1F_zBqkVEZD2Fvd"/>
            <w:bookmarkEnd w:id="535"/>
            <w:r>
              <w:rPr>
                <w:rFonts w:ascii="Times New Roman;Times;Serif" w:hAnsi="Times New Roman;Times;Serif"/>
                <w:b w:val="false"/>
                <w:i w:val="false"/>
                <w:caps w:val="false"/>
                <w:smallCaps w:val="false"/>
                <w:sz w:val="20"/>
              </w:rPr>
              <w:t>The Company received interest income in relation to loans given to affiliates to support their working capital requirements. The loans were for a 3-year term and issued at an interest rate of 15-17% per annum.</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6" w:name="xdx_F0E_zXlGk2kBBI4c"/>
            <w:bookmarkEnd w:id="536"/>
            <w:r>
              <w:rPr>
                <w:rFonts w:ascii="Times New Roman;Times;Serif" w:hAnsi="Times New Roman;Times;Serif"/>
                <w:b w:val="false"/>
                <w:i w:val="false"/>
                <w:caps w:val="false"/>
                <w:smallCaps w:val="false"/>
                <w:sz w:val="20"/>
              </w:rPr>
              <w:t>(g)</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7" w:name="xdx_F16_zMAVMoXB8ZI6"/>
            <w:bookmarkEnd w:id="537"/>
            <w:r>
              <w:rPr>
                <w:rFonts w:ascii="Times New Roman;Times;Serif" w:hAnsi="Times New Roman;Times;Serif"/>
                <w:b w:val="false"/>
                <w:i w:val="false"/>
                <w:caps w:val="false"/>
                <w:smallCaps w:val="false"/>
                <w:sz w:val="20"/>
              </w:rPr>
              <w:t>The Company obtained a loan at 12% per annum interest rate (effective April 1, 2025; 10% per annum till March 31, 2025) from Mr. Vaibhav Rao for business purposes. The agreement shall remain valid until the principal amount along with interest is fully repaid. The loan amount was outstanding as of June 30, 2026.</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8" w:name="xdx_F05_zung9BwOtBrh"/>
            <w:bookmarkEnd w:id="538"/>
            <w:r>
              <w:rPr>
                <w:rFonts w:ascii="Times New Roman;Times;Serif" w:hAnsi="Times New Roman;Times;Serif"/>
                <w:b w:val="false"/>
                <w:i w:val="false"/>
                <w:caps w:val="false"/>
                <w:smallCaps w:val="false"/>
                <w:sz w:val="20"/>
              </w:rPr>
              <w:t>(h)</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9" w:name="xdx_F1F_zrkW7BhkpLIh"/>
            <w:bookmarkEnd w:id="539"/>
            <w:r>
              <w:rPr>
                <w:rFonts w:ascii="Times New Roman;Times;Serif" w:hAnsi="Times New Roman;Times;Serif"/>
                <w:b w:val="false"/>
                <w:i w:val="false"/>
                <w:caps w:val="false"/>
                <w:smallCaps w:val="false"/>
                <w:sz w:val="20"/>
              </w:rPr>
              <w:t>This amount represents investments in affiliates. The Company earned interest income on its investments in affiliates.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jc w:val="center"/>
        <w:rPr/>
      </w:pPr>
      <w:r>
        <w:rPr/>
        <w:t> </w:t>
      </w:r>
    </w:p>
    <w:p>
      <w:pPr>
        <w:pStyle w:val="TextBody"/>
        <w:bidi w:val="0"/>
        <w:jc w:val="left"/>
        <w:rPr>
          <w:caps w:val="false"/>
          <w:smallCaps w:val="false"/>
        </w:rPr>
      </w:pPr>
      <w:bookmarkStart w:id="540" w:name="xdx_238_zwhQqct5hSbl"/>
      <w:bookmarkEnd w:id="540"/>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1" w:name="xdx_F09_zTwWKkZGthC2"/>
            <w:bookmarkEnd w:id="541"/>
            <w:r>
              <w:rPr>
                <w:rFonts w:ascii="Times New Roman;Times;Serif" w:hAnsi="Times New Roman;Times;Serif"/>
                <w:b w:val="false"/>
                <w:i w:val="false"/>
                <w:caps w:val="false"/>
                <w:smallCaps w:val="false"/>
                <w:sz w:val="20"/>
              </w:rPr>
              <w:t>(i)</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2" w:name="xdx_F1E_zYggVLSiBuUl"/>
            <w:bookmarkEnd w:id="542"/>
            <w:r>
              <w:rPr>
                <w:rFonts w:ascii="Times New Roman;Times;Serif" w:hAnsi="Times New Roman;Times;Serif"/>
                <w:b w:val="false"/>
                <w:i w:val="false"/>
                <w:caps w:val="false"/>
                <w:smallCaps w:val="false"/>
                <w:sz w:val="20"/>
              </w:rPr>
              <w:t>The Company availed management consulting services from ATPSPL under agreements dated March 20, 2020 and April 1, 2021.</w:t>
            </w:r>
          </w:p>
        </w:tc>
      </w:tr>
      <w:tr>
        <w:trPr/>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3" w:name="xdx_F0F_zCPAuGmf6HB1"/>
            <w:bookmarkEnd w:id="543"/>
            <w:r>
              <w:rPr>
                <w:rFonts w:ascii="Times New Roman;Times;Serif" w:hAnsi="Times New Roman;Times;Serif"/>
                <w:b w:val="false"/>
                <w:i w:val="false"/>
                <w:caps w:val="false"/>
                <w:smallCaps w:val="false"/>
                <w:sz w:val="20"/>
              </w:rPr>
              <w:t>(j)</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4" w:name="xdx_F1D_z2noGdt50l8c"/>
            <w:bookmarkEnd w:id="544"/>
            <w:r>
              <w:rPr>
                <w:rFonts w:ascii="Times New Roman;Times;Serif" w:hAnsi="Times New Roman;Times;Serif"/>
                <w:b w:val="false"/>
                <w:i w:val="false"/>
                <w:caps w:val="false"/>
                <w:smallCaps w:val="false"/>
                <w:sz w:val="20"/>
              </w:rPr>
              <w:t>For the period ended June 30, 2026, ATI has issued 106,398 shares at a fair value of $6.96 per share to Mr. Bhisham (Ajay) Khare pursuant to the exchange agreement dated November 6, 2023 for his holding in ATGBA. As of June 30, 2026, Mr. Bhisham (Ajay) Khare is yet to transfer the shares and consequently a receivable of $741 has been recognized.</w:t>
            </w:r>
          </w:p>
        </w:tc>
      </w:tr>
      <w:tr>
        <w:trPr/>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5" w:name="xdx_F0E_zhZVaiCJdoY2"/>
            <w:bookmarkEnd w:id="545"/>
            <w:r>
              <w:rPr>
                <w:rFonts w:ascii="Times New Roman;Times;Serif" w:hAnsi="Times New Roman;Times;Serif"/>
                <w:b w:val="false"/>
                <w:i w:val="false"/>
                <w:caps w:val="false"/>
                <w:smallCaps w:val="false"/>
                <w:sz w:val="20"/>
              </w:rPr>
              <w:t>(k)</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6" w:name="xdx_F1E_zfJQOQRSooc2"/>
            <w:bookmarkEnd w:id="546"/>
            <w:r>
              <w:rPr>
                <w:rFonts w:ascii="Times New Roman;Times;Serif" w:hAnsi="Times New Roman;Times;Serif"/>
                <w:b w:val="false"/>
                <w:i w:val="false"/>
                <w:caps w:val="false"/>
                <w:smallCaps w:val="false"/>
                <w:sz w:val="20"/>
              </w:rPr>
              <w:t>For the year ended March 31, 2026, Mr. Bhisham (Ajay) Khare has exercised 59,110 options under Aeries Management Stock Option Plan 2019 (“MSOP”) with exercise price of INR 10 (or approximately $0.11 at the exchange rate in effect on March 31, 2026). As on June 30, 2026, the exercise price of $6.24 has been received.</w:t>
            </w:r>
          </w:p>
        </w:tc>
      </w:tr>
      <w:tr>
        <w:trPr/>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7" w:name="xdx_F00_zS7bUxh4aUJ2"/>
            <w:bookmarkEnd w:id="547"/>
            <w:r>
              <w:rPr>
                <w:rFonts w:ascii="Times New Roman;Times;Serif" w:hAnsi="Times New Roman;Times;Serif"/>
                <w:b w:val="false"/>
                <w:i w:val="false"/>
                <w:caps w:val="false"/>
                <w:smallCaps w:val="false"/>
                <w:sz w:val="20"/>
              </w:rPr>
              <w:t>(l)</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8" w:name="xdx_F1E_zcp0Ge0WaHC2"/>
            <w:bookmarkEnd w:id="548"/>
            <w:r>
              <w:rPr>
                <w:rFonts w:ascii="Times New Roman;Times;Serif" w:hAnsi="Times New Roman;Times;Serif"/>
                <w:b w:val="false"/>
                <w:i w:val="false"/>
                <w:caps w:val="false"/>
                <w:smallCaps w:val="false"/>
                <w:sz w:val="20"/>
              </w:rPr>
              <w:t>On April 27, 2026, Mr. Bhisham (Ajay) Khare transferred 59,110 shares at a fair value of $5.67 per share to ATS for his holding in ATGBA.</w:t>
            </w:r>
          </w:p>
        </w:tc>
      </w:tr>
    </w:tbl>
    <w:p>
      <w:pPr>
        <w:pStyle w:val="TextBody"/>
        <w:bidi w:val="0"/>
        <w:jc w:val="left"/>
        <w:rPr>
          <w:caps w:val="false"/>
          <w:smallCaps w:val="false"/>
        </w:rPr>
      </w:pPr>
      <w:bookmarkStart w:id="549" w:name="xdx_8AD_z9impMtL1JN2"/>
      <w:bookmarkEnd w:id="54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executed two Exchange Agreements: (1) with AARK and Mr. Raman Kumar in his capacity as a shareholder of AARK; and (2) with ATGBA and Mr. Sudhir Appukuttan Panikassery, Mr. Ajay Khare, and Mr. Unnikrishnan Balakrishnan Nambiar, key managerial personnel of ATGBA in their capacity as shareholders of ATGBA (together referred to as “counterparties”). Under the Exchange Agreements, the counterparties would have a right to exchange the shares held by them in AARK or ATGBA into shares of ATI or cash subject to the conditions specified in the Exchange Agreement. Refer Note 10 for details. Additionally, pursuant to the Business Combination, 704,817 Class A ordinary shares have been issued to Innovo Consultancy DMCC, which is wholly owned by Mr. Kumar.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50" w:name="xdx_807_eus-gaap--CompensationRelatedCos"/>
      <w:bookmarkEnd w:id="550"/>
      <w:r>
        <w:rPr>
          <w:rFonts w:ascii="Times New Roman;Times;Serif" w:hAnsi="Times New Roman;Times;Serif"/>
          <w:b/>
          <w:i w:val="false"/>
          <w:caps w:val="false"/>
          <w:smallCaps w:val="false"/>
          <w:sz w:val="20"/>
        </w:rPr>
        <w:t xml:space="preserve">Note 9 - </w:t>
      </w:r>
      <w:bookmarkStart w:id="551" w:name="xdx_826_zybFMV2D3Fa3"/>
      <w:bookmarkEnd w:id="551"/>
      <w:r>
        <w:rPr>
          <w:rFonts w:ascii="Times New Roman;Times;Serif" w:hAnsi="Times New Roman;Times;Serif"/>
          <w:b/>
          <w:i w:val="false"/>
          <w:caps w:val="false"/>
          <w:smallCaps w:val="false"/>
          <w:sz w:val="20"/>
        </w:rPr>
        <w:t>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Technology, Inc. 2023 Equity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of WWAC approved the Aeries Technology, Inc. 2023 Equity Incentive Plan (the “Plan”) on March 11, 2023, subject to approval by WWAC’s shareholders. The Plan was approved by WWAC’s shareholders on November 2, 2023 and the Plan became effective upon the consummation of the Business Combination. The number of Class A ordinary shares authorized for issuance under the Plan is </w:t>
      </w:r>
      <w:bookmarkStart w:id="552" w:name="xdx_908_eus-gaap--StockIssuedDuringPerio"/>
      <w:bookmarkEnd w:id="552"/>
      <w:r>
        <w:rPr>
          <w:rFonts w:ascii="Times New Roman;Times;Serif" w:hAnsi="Times New Roman;Times;Serif"/>
          <w:b w:val="false"/>
          <w:i w:val="false"/>
          <w:caps w:val="false"/>
          <w:smallCaps w:val="false"/>
          <w:sz w:val="20"/>
        </w:rPr>
        <w:t>1,128,879 (subject to certain adjustments set forth in the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27, 2025, at the Company’s annual meeting of the shareholders, the Company’s shareholders approved Amendment No. 1 (the “Plan Amendment”) to the Plan. The Plan Amendment provided for (i) increasing the total number of Class A ordinary shares authorized under the Plan to </w:t>
      </w:r>
      <w:bookmarkStart w:id="553" w:name="xdx_90E_eus-gaap--StockIssuedDuringPerio"/>
      <w:bookmarkEnd w:id="553"/>
      <w:r>
        <w:rPr>
          <w:rFonts w:ascii="Times New Roman;Times;Serif" w:hAnsi="Times New Roman;Times;Serif"/>
          <w:b w:val="false"/>
          <w:i w:val="false"/>
          <w:caps w:val="false"/>
          <w:smallCaps w:val="false"/>
          <w:sz w:val="20"/>
        </w:rPr>
        <w:t>1,491,036 shares (the “New Share Reserve”), (ii) amending the “evergreen” provision in the Plan to automatically increase the New Share Reserve by 5% on an annual basis or by such lesser amount that the compensation committee of the board of directors may determine (“Evergreen Increase”), and (iii) removing the annual limits on issuing awards to a single individual under Sections 5(d) and 5(e) of the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26, 2025, the Company’s board of directors approved </w:t>
      </w:r>
      <w:bookmarkStart w:id="554" w:name="xdx_909_ecustom--AdditionalSharesToBeAva"/>
      <w:bookmarkEnd w:id="554"/>
      <w:r>
        <w:rPr>
          <w:rFonts w:ascii="Times New Roman;Times;Serif" w:hAnsi="Times New Roman;Times;Serif"/>
          <w:b w:val="false"/>
          <w:i w:val="false"/>
          <w:caps w:val="false"/>
          <w:smallCaps w:val="false"/>
          <w:sz w:val="20"/>
        </w:rPr>
        <w:t>278,488 additional shares to be available for issuance under the Plan pursuant to the Evergreen Increase provision.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28, 2026, </w:t>
      </w:r>
      <w:bookmarkStart w:id="555" w:name="xdx_907_ecustom--StockOptionAwardsDescri"/>
      <w:bookmarkEnd w:id="555"/>
      <w:r>
        <w:rPr>
          <w:rFonts w:ascii="Times New Roman;Times;Serif" w:hAnsi="Times New Roman;Times;Serif"/>
          <w:b w:val="false"/>
          <w:i w:val="false"/>
          <w:caps w:val="false"/>
          <w:smallCaps w:val="false"/>
          <w:sz w:val="20"/>
        </w:rPr>
        <w:t>ATI’s board of directors approved an award of stock options exercisable for 125,000 Class A ordinary shares to Mr. Khare and also delegated the authority to Mr. Khare to grant 225,625 options to eligible employees who are not officers or members of the Board. Mr. Khare subsequently granted 215,625 options to employees as of May 28, 2026. Additionally, on June 5, 2026, the Board delegated authority pursuant to the Plan to Mr. Khare to grant up to 227,520 stock option awards to non-officer employees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stock-based compensation expense is recognized in the condensed consolidated statements of comprehensive income using the straight-line attribution method over the requisite service period as per the accounting policy.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jc w:val="center"/>
        <w:rPr/>
      </w:pPr>
      <w:r>
        <w:rPr/>
        <w:t> </w:t>
      </w:r>
    </w:p>
    <w:p>
      <w:pPr>
        <w:pStyle w:val="TextBody"/>
        <w:bidi w:val="0"/>
        <w:jc w:val="left"/>
        <w:rPr>
          <w:caps w:val="false"/>
          <w:smallCaps w:val="false"/>
        </w:rPr>
      </w:pPr>
      <w:bookmarkStart w:id="556" w:name="xdx_236_zzV79Cks6Bce"/>
      <w:bookmarkEnd w:id="55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 option activity under the Plan for the period ended June 30, 2026:</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7" w:name="xdx_891_eus-gaap--ScheduleOfShareBasedCo"/>
      <w:bookmarkStart w:id="558" w:name="xdx_891_eus-gaap--ScheduleOfShareBasedCo"/>
      <w:bookmarkEnd w:id="558"/>
    </w:p>
    <w:tbl>
      <w:tblPr>
        <w:tblW w:w="9008" w:type="dxa"/>
        <w:jc w:val="left"/>
        <w:tblInd w:w="0" w:type="dxa"/>
        <w:tblLayout w:type="fixed"/>
        <w:tblCellMar>
          <w:top w:w="0" w:type="dxa"/>
          <w:left w:w="0" w:type="dxa"/>
          <w:bottom w:w="0" w:type="dxa"/>
          <w:right w:w="0" w:type="dxa"/>
        </w:tblCellMar>
      </w:tblPr>
      <w:tblGrid>
        <w:gridCol w:w="3380"/>
        <w:gridCol w:w="60"/>
        <w:gridCol w:w="60"/>
        <w:gridCol w:w="695"/>
        <w:gridCol w:w="60"/>
        <w:gridCol w:w="60"/>
        <w:gridCol w:w="386"/>
        <w:gridCol w:w="1178"/>
        <w:gridCol w:w="60"/>
        <w:gridCol w:w="60"/>
        <w:gridCol w:w="215"/>
        <w:gridCol w:w="1365"/>
        <w:gridCol w:w="60"/>
        <w:gridCol w:w="60"/>
        <w:gridCol w:w="581"/>
        <w:gridCol w:w="653"/>
        <w:gridCol w:w="75"/>
      </w:tblGrid>
      <w:tr>
        <w:trPr/>
        <w:tc>
          <w:tcPr>
            <w:tcW w:w="338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559" w:name="xdx_8B0_znkeHHsl6gB3"/>
            <w:bookmarkEnd w:id="559"/>
            <w:r>
              <w:rPr>
                <w:rFonts w:ascii="Times New Roman;Times;Serif" w:hAnsi="Times New Roman;Times;Serif"/>
                <w:b w:val="false"/>
                <w:i w:val="false"/>
                <w:caps w:val="false"/>
                <w:smallCaps w:val="false"/>
                <w:sz w:val="20"/>
              </w:rPr>
              <w:t>Schedule of ESOP stock option activity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w:t>
              <w:br/>
              <w:t>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br/>
              <w:t>exercise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br/>
              <w:t xml:space="preserve">remaining life </w:t>
              <w:br/>
              <w:t>(in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br/>
              <w:t>intrinsic value</w:t>
              <w:br/>
              <w:t>(in millions)</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outstanding at April 1, 2026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0" w:name="xdx_90F_eus-gaap--ShareBasedCompensation"/>
            <w:bookmarkEnd w:id="560"/>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561" w:name="xdx_907_eus-gaap--ShareBasedCompensation"/>
            <w:bookmarkEnd w:id="561"/>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562" w:name="xdx_90A_eus-gaap--ShareBasedCompensation"/>
            <w:bookmarkEnd w:id="562"/>
            <w:r>
              <w:rPr>
                <w:rFonts w:ascii="Times New Roman;Times;Serif" w:hAnsi="Times New Roman;Times;Serif"/>
                <w:b/>
                <w:i w:val="false"/>
                <w:caps w:val="false"/>
                <w:smallCaps w:val="false"/>
                <w:sz w:val="20"/>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3" w:name="xdx_90F_ecustom--ShareBasedCompensationA"/>
            <w:bookmarkEnd w:id="563"/>
            <w:r>
              <w:rPr>
                <w:rFonts w:ascii="Times New Roman;Times;Serif" w:hAnsi="Times New Roman;Times;Serif"/>
                <w:b w:val="false"/>
                <w:i w:val="false"/>
                <w:caps w:val="false"/>
                <w:smallCaps w:val="false"/>
                <w:sz w:val="20"/>
              </w:rPr>
              <w:t>340,625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4" w:name="xdx_902_eus-gaap--ShareBasedCompensation"/>
            <w:bookmarkEnd w:id="564"/>
            <w:r>
              <w:rPr>
                <w:rFonts w:ascii="Times New Roman;Times;Serif" w:hAnsi="Times New Roman;Times;Serif"/>
                <w:b w:val="false"/>
                <w:i w:val="false"/>
                <w:caps w:val="false"/>
                <w:smallCaps w:val="false"/>
                <w:sz w:val="20"/>
              </w:rPr>
              <w:t>5.98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5" w:name="xdx_905_eus-gaap--ShareBasedCompensation"/>
            <w:bookmarkEnd w:id="565"/>
            <w:r>
              <w:rPr>
                <w:rFonts w:ascii="Times New Roman;Times;Serif" w:hAnsi="Times New Roman;Times;Serif"/>
                <w:b w:val="false"/>
                <w:i w:val="false"/>
                <w:caps w:val="false"/>
                <w:smallCaps w:val="false"/>
                <w:sz w:val="20"/>
              </w:rPr>
              <w:t>1.22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6" w:name="xdx_909_eus-gaap--StockIssuedDuringPerio"/>
            <w:bookmarkEnd w:id="566"/>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7" w:name="xdx_90A_eus-gaap--ShareBasedCompensation"/>
            <w:bookmarkEnd w:id="567"/>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canceled, forfeited or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8" w:name="xdx_90A_eus-gaap--ShareBasedCompensation"/>
            <w:bookmarkEnd w:id="568"/>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9" w:name="xdx_90F_eus-gaap--ShareBasedCompensation"/>
            <w:bookmarkEnd w:id="569"/>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outstanding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70" w:name="xdx_903_eus-gaap--ShareBasedCompensation"/>
            <w:bookmarkEnd w:id="570"/>
            <w:r>
              <w:rPr>
                <w:rFonts w:ascii="Times New Roman;Times;Serif" w:hAnsi="Times New Roman;Times;Serif"/>
                <w:b w:val="false"/>
                <w:i w:val="false"/>
                <w:caps w:val="false"/>
                <w:smallCaps w:val="false"/>
                <w:sz w:val="20"/>
              </w:rPr>
              <w:t>340,625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71" w:name="xdx_90C_eus-gaap--ShareBasedCompensation"/>
            <w:bookmarkEnd w:id="571"/>
            <w:r>
              <w:rPr>
                <w:rFonts w:ascii="Times New Roman;Times;Serif" w:hAnsi="Times New Roman;Times;Serif"/>
                <w:b w:val="false"/>
                <w:i w:val="false"/>
                <w:caps w:val="false"/>
                <w:smallCaps w:val="false"/>
                <w:sz w:val="20"/>
              </w:rPr>
              <w:t>5.98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72" w:name="xdx_90F_eus-gaap--SharebasedCompensation"/>
            <w:bookmarkEnd w:id="572"/>
            <w:r>
              <w:rPr>
                <w:rFonts w:ascii="Times New Roman;Times;Serif" w:hAnsi="Times New Roman;Times;Serif"/>
                <w:b w:val="false"/>
                <w:i w:val="false"/>
                <w:caps w:val="false"/>
                <w:smallCaps w:val="false"/>
                <w:sz w:val="20"/>
              </w:rPr>
              <w:t>1.18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bookmarkStart w:id="573" w:name="xdx_90C_eus-gaap--ShareBasedCompensation"/>
            <w:bookmarkEnd w:id="573"/>
            <w:r>
              <w:rPr>
                <w:rFonts w:ascii="Times New Roman;Times;Serif" w:hAnsi="Times New Roman;Times;Serif"/>
                <w:b w:val="false"/>
                <w:i w:val="false"/>
                <w:caps w:val="false"/>
                <w:smallCaps w:val="false"/>
                <w:color w:val="CCEEFF"/>
                <w:sz w:val="20"/>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and exercisable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74" w:name="xdx_902_eus-gaap--ShareBasedCompensation"/>
            <w:bookmarkEnd w:id="574"/>
            <w:r>
              <w:rPr>
                <w:rFonts w:ascii="Times New Roman;Times;Serif" w:hAnsi="Times New Roman;Times;Serif"/>
                <w:b w:val="false"/>
                <w:i w:val="false"/>
                <w:caps w:val="false"/>
                <w:smallCaps w:val="false"/>
                <w:sz w:val="20"/>
              </w:rPr>
              <w:t>187,438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75" w:name="xdx_905_eus-gaap--ShareBasedCompensation"/>
            <w:bookmarkEnd w:id="575"/>
            <w:r>
              <w:rPr>
                <w:rFonts w:ascii="Times New Roman;Times;Serif" w:hAnsi="Times New Roman;Times;Serif"/>
                <w:b w:val="false"/>
                <w:i w:val="false"/>
                <w:caps w:val="false"/>
                <w:smallCaps w:val="false"/>
                <w:sz w:val="20"/>
              </w:rPr>
              <w:t>5.98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576" w:name="xdx_8A1_zLT0NeegoJa8"/>
      <w:bookmarkEnd w:id="57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w:t>
      </w:r>
      <w:bookmarkStart w:id="577" w:name="xdx_90D_eus-gaap--SharebasedCompensation"/>
      <w:bookmarkEnd w:id="577"/>
      <w:r>
        <w:rPr>
          <w:rFonts w:ascii="Times New Roman;Times;Serif" w:hAnsi="Times New Roman;Times;Serif"/>
          <w:b w:val="false"/>
          <w:i w:val="false"/>
          <w:caps w:val="false"/>
          <w:smallCaps w:val="false"/>
          <w:sz w:val="20"/>
        </w:rPr>
        <w:t>153,187 unvested options with an aggregate grant date fair value of $</w:t>
      </w:r>
      <w:bookmarkStart w:id="578" w:name="xdx_90C_eus-gaap--SharebasedCompensation"/>
      <w:bookmarkEnd w:id="578"/>
      <w:r>
        <w:rPr>
          <w:rFonts w:ascii="Times New Roman;Times;Serif" w:hAnsi="Times New Roman;Times;Serif"/>
          <w:b w:val="false"/>
          <w:i w:val="false"/>
          <w:caps w:val="false"/>
          <w:smallCaps w:val="false"/>
          <w:sz w:val="20"/>
        </w:rPr>
        <w:t>0.57 million. As of June 30, 2025, there were </w:t>
      </w:r>
      <w:bookmarkStart w:id="579" w:name="xdx_902_eus-gaap--SharebasedCompensation"/>
      <w:bookmarkEnd w:id="579"/>
      <w:r>
        <w:rPr>
          <w:rFonts w:ascii="Times New Roman;Times;Serif" w:hAnsi="Times New Roman;Times;Serif"/>
          <w:b w:val="false"/>
          <w:i w:val="false"/>
          <w:caps w:val="false"/>
          <w:smallCaps w:val="false"/>
          <w:sz w:val="20"/>
        </w:rPr>
        <w:t xml:space="preserve">no unvested options. The unvested options will vest in accordance with the graded vesting schedule in each respective option agreement. The options generally vest in five equal tranches, which either begin on the date of grant or on the one-year anniversary of the date of grant. A total of </w:t>
      </w:r>
      <w:bookmarkStart w:id="580" w:name="xdx_906_eus-gaap--SharebasedCompensation"/>
      <w:bookmarkEnd w:id="580"/>
      <w:r>
        <w:rPr>
          <w:rFonts w:ascii="Times New Roman;Times;Serif" w:hAnsi="Times New Roman;Times;Serif"/>
          <w:b w:val="false"/>
          <w:i w:val="false"/>
          <w:caps w:val="false"/>
          <w:smallCaps w:val="false"/>
          <w:sz w:val="20"/>
        </w:rPr>
        <w:t>187,438 options vested during the three months ended June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Black-Scholes valuation model to measure the grant-date fair value of stock options. For employee awards subject solely to service conditions and having a graded vesting schedule, the Company recognizes compensation cost on a straight-line basis over the requisite service period applicable to each separately vesting tranche, treating each tranche as a separate award for attribution purposes, in accordance with ASC 718-10-35-8.</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fair value of stock options using the Black-Scholes valuation model, the calculation takes into consideration the effect of the following:</w:t>
      </w:r>
    </w:p>
    <w:p>
      <w:pPr>
        <w:pStyle w:val="TextBody"/>
        <w:bidi w:val="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170"/>
        <w:gridCol w:w="2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of the option</w:t>
            </w:r>
          </w:p>
        </w:tc>
      </w:tr>
    </w:tbl>
    <w:p>
      <w:pPr>
        <w:pStyle w:val="TextBody"/>
        <w:bidi w:val="0"/>
        <w:spacing w:before="0" w:after="283"/>
        <w:jc w:val="left"/>
        <w:rPr/>
      </w:pPr>
      <w:r>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the Class A ordinary shares on the date of grant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of the option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over the expected term of the option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 for the expected term of the option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includes several assumptions that require management’s judgment. The expected term of the options is calculated using the simplified method described in GAAP. The simplified method defines the expected term as the average of the contractual term and the vesting period. Estimated volatility is derived from volatility calculated using historical closing prices of common shares of similar entities whose share prices are publicly available for the expected term of the options. The risk-free interest rate is based on the U.S. Treasury constant maturities in effect at the time of grant for the expected term of the options.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assumptions were used in the Black-Scholes valuation model for options granted during the three months ended June 30, 2026:</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81" w:name="xdx_895_eus-gaap--ScheduleOfAssumptionsU"/>
      <w:bookmarkStart w:id="582" w:name="xdx_895_eus-gaap--ScheduleOfAssumptionsU"/>
      <w:bookmarkEnd w:id="582"/>
    </w:p>
    <w:tbl>
      <w:tblPr>
        <w:tblW w:w="4100" w:type="dxa"/>
        <w:jc w:val="left"/>
        <w:tblInd w:w="0" w:type="dxa"/>
        <w:tblLayout w:type="fixed"/>
        <w:tblCellMar>
          <w:top w:w="0" w:type="dxa"/>
          <w:left w:w="0" w:type="dxa"/>
          <w:bottom w:w="0" w:type="dxa"/>
          <w:right w:w="0" w:type="dxa"/>
        </w:tblCellMar>
      </w:tblPr>
      <w:tblGrid>
        <w:gridCol w:w="3335"/>
        <w:gridCol w:w="60"/>
        <w:gridCol w:w="125"/>
        <w:gridCol w:w="380"/>
        <w:gridCol w:w="200"/>
      </w:tblGrid>
      <w:tr>
        <w:trPr/>
        <w:tc>
          <w:tcPr>
            <w:tcW w:w="333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583" w:name="xdx_8B6_zP5InNQDRPe"/>
            <w:bookmarkEnd w:id="583"/>
            <w:r>
              <w:rPr>
                <w:rFonts w:ascii="Times New Roman;Times;Serif" w:hAnsi="Times New Roman;Times;Serif"/>
                <w:b w:val="false"/>
                <w:i w:val="false"/>
                <w:caps w:val="false"/>
                <w:smallCaps w:val="false"/>
                <w:sz w:val="20"/>
              </w:rPr>
              <w:t>Schedule of assumptions used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4" w:name="xdx_90F_eus-gaap--ShareBasedCompensation"/>
            <w:bookmarkEnd w:id="584"/>
            <w:r>
              <w:rPr>
                <w:rFonts w:ascii="Times New Roman;Times;Serif" w:hAnsi="Times New Roman;Times;Serif"/>
                <w:b w:val="false"/>
                <w:i w:val="false"/>
                <w:caps w:val="false"/>
                <w:smallCaps w:val="false"/>
                <w:sz w:val="20"/>
              </w:rPr>
              <w:t>70</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5" w:name="xdx_906_eus-gaap--ShareBasedCompensation"/>
            <w:bookmarkEnd w:id="585"/>
            <w:r>
              <w:rPr>
                <w:rFonts w:ascii="Times New Roman;Times;Serif" w:hAnsi="Times New Roman;Times;Serif"/>
                <w:b w:val="false"/>
                <w:i w:val="false"/>
                <w:caps w:val="false"/>
                <w:smallCaps w:val="false"/>
                <w:sz w:val="20"/>
              </w:rPr>
              <w:t>4.2</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(in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6" w:name="xdx_903_eus-gaap--SharebasedCompensation"/>
            <w:bookmarkEnd w:id="586"/>
            <w:r>
              <w:rPr>
                <w:rFonts w:ascii="Times New Roman;Times;Serif" w:hAnsi="Times New Roman;Times;Serif"/>
                <w:b w:val="false"/>
                <w:i w:val="false"/>
                <w:caps w:val="false"/>
                <w:smallCaps w:val="false"/>
                <w:sz w:val="20"/>
              </w:rPr>
              <w:t>5</w:t>
            </w:r>
          </w:p>
        </w:tc>
        <w:tc>
          <w:tcPr>
            <w:tcW w:w="20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7" w:name="xdx_90E_eus-gaap--ShareBasedCompensation"/>
            <w:bookmarkEnd w:id="587"/>
            <w:r>
              <w:rPr>
                <w:rFonts w:ascii="Times New Roman;Times;Serif" w:hAnsi="Times New Roman;Times;Serif"/>
                <w:b w:val="false"/>
                <w:i w:val="false"/>
                <w:caps w:val="false"/>
                <w:smallCaps w:val="false"/>
                <w:sz w:val="20"/>
              </w:rPr>
              <w:t>0.0</w:t>
            </w:r>
          </w:p>
        </w:tc>
        <w:tc>
          <w:tcPr>
            <w:tcW w:w="2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per Class A ordinary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8" w:name="xdx_90A_eus-gaap--ShareBasedCompensation"/>
            <w:bookmarkEnd w:id="588"/>
            <w:r>
              <w:rPr>
                <w:rFonts w:ascii="Times New Roman;Times;Serif" w:hAnsi="Times New Roman;Times;Serif"/>
                <w:b w:val="false"/>
                <w:i w:val="false"/>
                <w:caps w:val="false"/>
                <w:smallCaps w:val="false"/>
                <w:sz w:val="20"/>
              </w:rPr>
              <w:t>5.98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589" w:name="xdx_8A0_zCKVMEffM7J7"/>
      <w:bookmarkEnd w:id="58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options issued for the three months ended June 30, 2025 under this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grant-date fair value per share of stock options granted during the three months ended June 2026 was $</w:t>
      </w:r>
      <w:bookmarkStart w:id="590" w:name="xdx_909_eus-gaap--ShareBasedCompensation"/>
      <w:bookmarkEnd w:id="590"/>
      <w:r>
        <w:rPr>
          <w:rFonts w:ascii="Times New Roman;Times;Serif" w:hAnsi="Times New Roman;Times;Serif"/>
          <w:b w:val="false"/>
          <w:i w:val="false"/>
          <w:caps w:val="false"/>
          <w:smallCaps w:val="false"/>
          <w:sz w:val="20"/>
        </w:rPr>
        <w:t>3.82 per share. The aggregate grant date fair value of the </w:t>
      </w:r>
      <w:bookmarkStart w:id="591" w:name="xdx_90B_eus-gaap--ShareBasedCompensation"/>
      <w:bookmarkEnd w:id="591"/>
      <w:r>
        <w:rPr>
          <w:rFonts w:ascii="Times New Roman;Times;Serif" w:hAnsi="Times New Roman;Times;Serif"/>
          <w:b w:val="false"/>
          <w:i w:val="false"/>
          <w:caps w:val="false"/>
          <w:smallCaps w:val="false"/>
          <w:sz w:val="20"/>
        </w:rPr>
        <w:t>187,438 options granted and vested during the three months ended June 2026 was $</w:t>
      </w:r>
      <w:bookmarkStart w:id="592" w:name="xdx_909_eus-gaap--ShareBasedCompensation"/>
      <w:bookmarkEnd w:id="592"/>
      <w:r>
        <w:rPr>
          <w:rFonts w:ascii="Times New Roman;Times;Serif" w:hAnsi="Times New Roman;Times;Serif"/>
          <w:b w:val="false"/>
          <w:i w:val="false"/>
          <w:caps w:val="false"/>
          <w:smallCaps w:val="false"/>
          <w:sz w:val="20"/>
        </w:rPr>
        <w:t>0.69 million.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Employees Stock Option Plan, 2020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2020, ATGBA’s board of directors approved and executed the Aeries Employees Stock Option Plan (“ESOP”), which was subsequently amended on July 22, 2022. Under ESOP, the company is authorized to grant up to </w:t>
      </w:r>
      <w:bookmarkStart w:id="593" w:name="xdx_90D_eus-gaap--StockIssuedDuringPerio"/>
      <w:bookmarkEnd w:id="593"/>
      <w:r>
        <w:rPr>
          <w:rFonts w:ascii="Times New Roman;Times;Serif" w:hAnsi="Times New Roman;Times;Serif"/>
          <w:b w:val="false"/>
          <w:i w:val="false"/>
          <w:caps w:val="false"/>
          <w:smallCaps w:val="false"/>
          <w:sz w:val="20"/>
        </w:rPr>
        <w:t xml:space="preserve">59,900 options to eligible employees in one or more tranches. The company granted </w:t>
      </w:r>
      <w:bookmarkStart w:id="594" w:name="xdx_901_eus-gaap--StockIssuedDuringPerio"/>
      <w:bookmarkEnd w:id="594"/>
      <w:r>
        <w:rPr>
          <w:rFonts w:ascii="Times New Roman;Times;Serif" w:hAnsi="Times New Roman;Times;Serif"/>
          <w:b w:val="false"/>
          <w:i w:val="false"/>
          <w:caps w:val="false"/>
          <w:smallCaps w:val="false"/>
          <w:sz w:val="20"/>
        </w:rPr>
        <w:t>59,900 options to eligible employees during the year ended March 31,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issued under the ESOP generally are subject to service conditions. The service condition is typically one year. The stock-based compensation expense is recognized in the condensed consolidated statements of comprehensive income using the straight-line attribution method over the requisite service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ESOP stock option activity for the three months ended June 30, 2026:</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5" w:name="xdx_89F_ecustom--ScheduleOfShareBasedCom"/>
      <w:bookmarkStart w:id="596" w:name="xdx_89F_ecustom--ScheduleOfShareBasedCom"/>
      <w:bookmarkEnd w:id="596"/>
    </w:p>
    <w:tbl>
      <w:tblPr>
        <w:tblW w:w="8903" w:type="dxa"/>
        <w:jc w:val="left"/>
        <w:tblInd w:w="0" w:type="dxa"/>
        <w:tblLayout w:type="fixed"/>
        <w:tblCellMar>
          <w:top w:w="0" w:type="dxa"/>
          <w:left w:w="0" w:type="dxa"/>
          <w:bottom w:w="0" w:type="dxa"/>
          <w:right w:w="0" w:type="dxa"/>
        </w:tblCellMar>
      </w:tblPr>
      <w:tblGrid>
        <w:gridCol w:w="3380"/>
        <w:gridCol w:w="60"/>
        <w:gridCol w:w="60"/>
        <w:gridCol w:w="590"/>
        <w:gridCol w:w="60"/>
        <w:gridCol w:w="60"/>
        <w:gridCol w:w="386"/>
        <w:gridCol w:w="1178"/>
        <w:gridCol w:w="60"/>
        <w:gridCol w:w="60"/>
        <w:gridCol w:w="215"/>
        <w:gridCol w:w="1365"/>
        <w:gridCol w:w="60"/>
        <w:gridCol w:w="60"/>
        <w:gridCol w:w="334"/>
        <w:gridCol w:w="900"/>
        <w:gridCol w:w="75"/>
      </w:tblGrid>
      <w:tr>
        <w:trPr/>
        <w:tc>
          <w:tcPr>
            <w:tcW w:w="338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597" w:name="xdx_8B6_z3CwqijhKDvg"/>
            <w:bookmarkEnd w:id="597"/>
            <w:r>
              <w:rPr>
                <w:rFonts w:ascii="Times New Roman;Times;Serif" w:hAnsi="Times New Roman;Times;Serif"/>
                <w:b w:val="false"/>
                <w:i w:val="false"/>
                <w:caps w:val="false"/>
                <w:smallCaps w:val="false"/>
                <w:sz w:val="20"/>
              </w:rPr>
              <w:t>Schedule of stock option activity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br/>
              <w:t>exercise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br/>
              <w:t>remaining</w:t>
              <w:br/>
              <w:t xml:space="preserve">contractual term </w:t>
              <w:br/>
              <w:t>(in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br/>
              <w:t>intrinsic value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outstanding at April 1, 2026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598" w:name="xdx_90F_eus-gaap--ShareBasedCompensation"/>
            <w:bookmarkEnd w:id="598"/>
            <w:r>
              <w:rPr>
                <w:rFonts w:ascii="Times New Roman;Times;Serif" w:hAnsi="Times New Roman;Times;Serif"/>
                <w:b/>
                <w:i w:val="false"/>
                <w:caps w:val="false"/>
                <w:smallCaps w:val="false"/>
                <w:sz w:val="20"/>
              </w:rPr>
              <w:t>59,900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599" w:name="xdx_90C_eus-gaap--ShareBasedCompensation"/>
            <w:bookmarkEnd w:id="599"/>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00" w:name="xdx_907_eus-gaap--ShareBasedCompensation"/>
            <w:bookmarkEnd w:id="600"/>
            <w:r>
              <w:rPr>
                <w:rFonts w:ascii="Times New Roman;Times;Serif" w:hAnsi="Times New Roman;Times;Serif"/>
                <w:b/>
                <w:i w:val="false"/>
                <w:caps w:val="false"/>
                <w:smallCaps w:val="false"/>
                <w:sz w:val="20"/>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1" w:name="xdx_90D_eus-gaap--ShareBasedCompensation"/>
            <w:bookmarkEnd w:id="601"/>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2" w:name="xdx_905_eus-gaap--ShareBasedCompensation"/>
            <w:bookmarkEnd w:id="602"/>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3" w:name="xdx_901_eus-gaap--StockIssuedDuringPerio"/>
            <w:bookmarkEnd w:id="603"/>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4" w:name="xdx_907_eus-gaap--ShareBasedCompensation"/>
            <w:bookmarkEnd w:id="604"/>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5" w:name="xdx_903_eus-gaap--ShareBasedCompensation"/>
            <w:bookmarkEnd w:id="605"/>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canceled, forfeited or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6" w:name="xdx_90A_eus-gaap--ShareBasedCompensation"/>
            <w:bookmarkEnd w:id="606"/>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7" w:name="xdx_902_eus-gaap--ShareBasedCompensation"/>
            <w:bookmarkEnd w:id="607"/>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outstanding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08" w:name="xdx_90F_eus-gaap--ShareBasedCompensation"/>
            <w:bookmarkEnd w:id="608"/>
            <w:r>
              <w:rPr>
                <w:rFonts w:ascii="Times New Roman;Times;Serif" w:hAnsi="Times New Roman;Times;Serif"/>
                <w:b/>
                <w:i w:val="false"/>
                <w:caps w:val="false"/>
                <w:smallCaps w:val="false"/>
                <w:sz w:val="20"/>
              </w:rPr>
              <w:t>59,900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09" w:name="xdx_905_eus-gaap--ShareBasedCompensation"/>
            <w:bookmarkEnd w:id="609"/>
            <w:r>
              <w:rPr>
                <w:rFonts w:ascii="Times New Roman;Times;Serif" w:hAnsi="Times New Roman;Times;Serif"/>
                <w:b/>
                <w:i w:val="false"/>
                <w:caps w:val="false"/>
                <w:smallCaps w:val="false"/>
                <w:sz w:val="20"/>
              </w:rPr>
              <w:t>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10" w:name="xdx_90D_eus-gaap--SharebasedCompensation"/>
            <w:bookmarkEnd w:id="610"/>
            <w:r>
              <w:rPr>
                <w:rFonts w:ascii="Times New Roman;Times;Serif" w:hAnsi="Times New Roman;Times;Serif"/>
                <w:b/>
                <w:i w:val="false"/>
                <w:caps w:val="false"/>
                <w:smallCaps w:val="false"/>
                <w:sz w:val="20"/>
              </w:rPr>
              <w:t>2.07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11" w:name="xdx_908_eus-gaap--ShareBasedCompensation"/>
            <w:bookmarkEnd w:id="611"/>
            <w:r>
              <w:rPr>
                <w:rFonts w:ascii="Times New Roman;Times;Serif" w:hAnsi="Times New Roman;Times;Serif"/>
                <w:b/>
                <w:i w:val="false"/>
                <w:caps w:val="false"/>
                <w:smallCaps w:val="false"/>
                <w:sz w:val="20"/>
              </w:rPr>
              <w:t>635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and exercisable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12" w:name="xdx_900_eus-gaap--ShareBasedCompensation"/>
            <w:bookmarkEnd w:id="612"/>
            <w:r>
              <w:rPr>
                <w:rFonts w:ascii="Times New Roman;Times;Serif" w:hAnsi="Times New Roman;Times;Serif"/>
                <w:b/>
                <w:i w:val="false"/>
                <w:caps w:val="false"/>
                <w:smallCaps w:val="false"/>
                <w:sz w:val="20"/>
              </w:rPr>
              <w:t>59,900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13" w:name="xdx_90D_eus-gaap--ShareBasedCompensation"/>
            <w:bookmarkEnd w:id="613"/>
            <w:r>
              <w:rPr>
                <w:rFonts w:ascii="Times New Roman;Times;Serif" w:hAnsi="Times New Roman;Times;Serif"/>
                <w:b/>
                <w:i w:val="false"/>
                <w:caps w:val="false"/>
                <w:smallCaps w:val="false"/>
                <w:sz w:val="20"/>
              </w:rPr>
              <w:t>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14" w:name="xdx_90C_eus-gaap--SharebasedCompensation"/>
            <w:bookmarkEnd w:id="614"/>
            <w:r>
              <w:rPr>
                <w:rFonts w:ascii="Times New Roman;Times;Serif" w:hAnsi="Times New Roman;Times;Serif"/>
                <w:b/>
                <w:i w:val="false"/>
                <w:caps w:val="false"/>
                <w:smallCaps w:val="false"/>
                <w:sz w:val="20"/>
              </w:rPr>
              <w:t>2.07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15" w:name="xdx_901_eus-gaap--ShareBasedCompensation"/>
            <w:bookmarkEnd w:id="615"/>
            <w:r>
              <w:rPr>
                <w:rFonts w:ascii="Times New Roman;Times;Serif" w:hAnsi="Times New Roman;Times;Serif"/>
                <w:b/>
                <w:i w:val="false"/>
                <w:caps w:val="false"/>
                <w:smallCaps w:val="false"/>
                <w:sz w:val="20"/>
              </w:rPr>
              <w:t>635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616" w:name="xdx_8AD_ztWdFgzJRAfa"/>
      <w:bookmarkEnd w:id="616"/>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Management Stock Option Plan, 2019</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23, 2019, ATGBA’s board of directors approved and executed the Aeries Management Stock Option Plan 2019 (“MSOP”), which was subsequently amended on September 30, 2022. Under MSOP, ATGBA has authorized to grant up to </w:t>
      </w:r>
      <w:bookmarkStart w:id="617" w:name="xdx_90A_eus-gaap--StockIssuedDuringPerio"/>
      <w:bookmarkEnd w:id="617"/>
      <w:r>
        <w:rPr>
          <w:rFonts w:ascii="Times New Roman;Times;Serif" w:hAnsi="Times New Roman;Times;Serif"/>
          <w:b w:val="false"/>
          <w:i w:val="false"/>
          <w:caps w:val="false"/>
          <w:smallCaps w:val="false"/>
          <w:sz w:val="20"/>
        </w:rPr>
        <w:t>295,565 options to eligible employees in one or more tranches.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jc w:val="center"/>
        <w:rPr/>
      </w:pPr>
      <w:r>
        <w:rPr/>
        <w:t> </w:t>
      </w:r>
    </w:p>
    <w:p>
      <w:pPr>
        <w:pStyle w:val="TextBody"/>
        <w:bidi w:val="0"/>
        <w:jc w:val="both"/>
        <w:rPr>
          <w:caps w:val="false"/>
          <w:smallCaps w:val="false"/>
        </w:rPr>
      </w:pPr>
      <w:bookmarkStart w:id="618" w:name="xdx_237_zAf1mYPY4ED8"/>
      <w:bookmarkEnd w:id="61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issued under the MSOP generally are subject to both service and performance conditions. The service condition is typically one year, and the performance conditions are based on the condensed consolidated revenue and adjusted profit before tax of ATGBA. The stock-based compensation expense is recognized in the condensed consolidated statements of comprehensive income using the straight-line attribution method over the requisite service period if it is probable that the performance target will be achieved.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and 2025, the Company recorded stock-based compensation expense of $</w:t>
      </w:r>
      <w:bookmarkStart w:id="619" w:name="xdx_902_eus-gaap--ShareBasedCompensation"/>
      <w:bookmarkEnd w:id="619"/>
      <w:r>
        <w:rPr>
          <w:rFonts w:ascii="Times New Roman;Times;Serif" w:hAnsi="Times New Roman;Times;Serif"/>
          <w:b w:val="false"/>
          <w:i w:val="false"/>
          <w:caps w:val="false"/>
          <w:smallCaps w:val="false"/>
          <w:sz w:val="20"/>
        </w:rPr>
        <w:t xml:space="preserve">710 and $Nil </w:t>
      </w:r>
      <w:bookmarkStart w:id="620" w:name="xdx_900_eus-gaap--ShareBasedCompensation"/>
      <w:bookmarkEnd w:id="620"/>
      <w:r>
        <w:rPr>
          <w:rFonts w:ascii="Times New Roman;Times;Serif" w:hAnsi="Times New Roman;Times;Serif"/>
          <w:b w:val="false"/>
          <w:i w:val="false"/>
          <w:caps w:val="false"/>
          <w:smallCaps w:val="false"/>
          <w:sz w:val="20"/>
        </w:rPr>
        <w:t>0 within “Selling, general &amp; administrative expenses” in the condensed consolidated statements of operations,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2025, there was </w:t>
      </w:r>
      <w:bookmarkStart w:id="621" w:name="xdx_902_eus-gaap--EmployeeServiceShareBa"/>
      <w:bookmarkStart w:id="622" w:name="xdx_907_eus-gaap--EmployeeServiceShareBa"/>
      <w:bookmarkEnd w:id="621"/>
      <w:bookmarkEnd w:id="622"/>
      <w:r>
        <w:rPr>
          <w:rFonts w:ascii="Times New Roman;Times;Serif" w:hAnsi="Times New Roman;Times;Serif"/>
          <w:b w:val="false"/>
          <w:i w:val="false"/>
          <w:caps w:val="false"/>
          <w:smallCaps w:val="false"/>
          <w:sz w:val="20"/>
        </w:rPr>
        <w:t>no unrecognized stock-based compensation cost.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23" w:name="xdx_809_eus-gaap--CommitmentsAndContinge"/>
      <w:bookmarkEnd w:id="623"/>
      <w:r>
        <w:rPr>
          <w:rFonts w:ascii="Times New Roman;Times;Serif" w:hAnsi="Times New Roman;Times;Serif"/>
          <w:b/>
          <w:i w:val="false"/>
          <w:caps w:val="false"/>
          <w:smallCaps w:val="false"/>
          <w:sz w:val="20"/>
        </w:rPr>
        <w:t xml:space="preserve">Note 10 - </w:t>
      </w:r>
      <w:bookmarkStart w:id="624" w:name="xdx_82A_zAeHwnuh5K9l"/>
      <w:bookmarkEnd w:id="624"/>
      <w:r>
        <w:rPr>
          <w:rFonts w:ascii="Times New Roman;Times;Serif" w:hAnsi="Times New Roman;Times;Serif"/>
          <w:b/>
          <w:i w:val="false"/>
          <w:caps w:val="false"/>
          <w:smallCaps w:val="false"/>
          <w:sz w:val="20"/>
        </w:rPr>
        <w:t>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a party to a variety of agreements under which it may be obligated to indemnify the other party for certain matters. These obligations typically arise in contracts where the Company customarily agrees to hold the other party harmless against losses arising from a breach of representations or covenants for certain matters, infringement of third-party intellectual property rights, data privacy violations, and certain tortious conduct in the course of providing services. The duration of these indemnifications varies, and in certain cases, is indefinite.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unable to reasonably estimate the maximum potential amount of future payments under these or similar agreements due to the unique facts and circumstances of each agreement and the fact that certain indemnifications provide for no limitation to the maximum potential future payments under the indemnification. Management is not aware of any such matters that would have a material effect on the condensed consolidated financial statements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involved in proceedings and litigation, claims and other legal matters arising in the ordinary course of business. Some of these claims, lawsuits, and other proceedings may involve highly complex issues that are subject to substantial uncertainties, and could result in damages, fines, penalties, non-monetary sanctions, or relief. Management is not currently aware of any material pending legal proceedings, except for ordinary routine litigation incidental to the business, in which we or any of our subsidiaries are involved, or where our property is subject to such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Business Combination, the holders of AARK ordinary shares and ATGBA ordinary shares each entered into the Exchange Agreements. Pursuant to the Exchange Agreements, subject to certain exercise conditions, the Company shall have the right to acquire all of the AARK or ATGBA ordinary share for Class A ordinary shares or cash. In addition, subject to certain exercise condition, each shareholder of ATGBA and AARK ordinary shares shall have the right to require the Company to provide Class A ordinary shares or cash in exchange for up to all of the AARK or ATGBA ordinary shares. Each share of AARK may be exchanged for 280.75 Class A ordinary shares the Company and each ATGBA ordinary share may be exchanged for 1.80 Class A ordinary shares of the Company, in each case subject to certain adjustments. The cash exchange payment may only be elected in the event approval from the Reserve Bank of India is not obtained for exchange of shares and provided that the Company has reasonable cash flow to be able to pay the cash exchange payment and such payment would not be prohibited by any then outstanding debt agreements or arrangements of the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25" w:name="xdx_80A_ecustom--DisclosureOfWarrantLiab"/>
      <w:bookmarkEnd w:id="625"/>
      <w:r>
        <w:rPr>
          <w:rFonts w:ascii="Times New Roman;Times;Serif" w:hAnsi="Times New Roman;Times;Serif"/>
          <w:b/>
          <w:i w:val="false"/>
          <w:caps w:val="false"/>
          <w:smallCaps w:val="false"/>
          <w:sz w:val="20"/>
        </w:rPr>
        <w:t xml:space="preserve">Note 11 - </w:t>
      </w:r>
      <w:bookmarkStart w:id="626" w:name="xdx_82D_zGAyKP06mJzc"/>
      <w:bookmarkEnd w:id="626"/>
      <w:r>
        <w:rPr>
          <w:rFonts w:ascii="Times New Roman;Times;Serif" w:hAnsi="Times New Roman;Times;Serif"/>
          <w:b/>
          <w:i w:val="false"/>
          <w:caps w:val="false"/>
          <w:smallCaps w:val="false"/>
          <w:sz w:val="20"/>
        </w:rPr>
        <w:t>Warrant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22, 2021, pursuant to </w:t>
      </w:r>
      <w:bookmarkStart w:id="627" w:name="xdx_900_ecustom--InitialPublicOfferingDe"/>
      <w:bookmarkEnd w:id="627"/>
      <w:r>
        <w:rPr>
          <w:rFonts w:ascii="Times New Roman;Times;Serif" w:hAnsi="Times New Roman;Times;Serif"/>
          <w:b w:val="false"/>
          <w:i w:val="false"/>
          <w:caps w:val="false"/>
          <w:smallCaps w:val="false"/>
          <w:sz w:val="20"/>
        </w:rPr>
        <w:t>the consummation of the Initial Public Offering, the Company issued 11,499,991 Public Warrants. Simultaneously with the closing of the Initial Public Offering, WWAC issued 8,900,000 warrants in a private placement (the “Private Placement Warrants”), at a purchase price of $1.00 per Private Placement Warrant, which included 900,000 units as a result of the underwriter’s full exercise of its option to purchase up to 900,000 additional warrants, at a purchase price of $1.00 per Private Placement Warrant. On November 6, 2023, WWAC issued 627,810 other Private Placement Warrants to the Sponsor pursuant to the conversion of a promissory note payable to the Sponsor. Upon consummation of the Business Combination, the Company assumed 11,499,991 Public Warrants and 9,527,810 Private Placement Warrants (collectively the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Warrants in accordance with the guidance contained in ASC 815-40 given that certain provisions within the warrant agreement either preclude the warrants from being considered indexed to the ATI’s own stock or the fixed-for-fixed option criteria are not met. On this basis the Public and Private Placement Warrants are classified as a liability and are measured at fair value. This liability is subject to re-measurement at each balance sheet date. With each such re-measurement, the warrant liability will be adjusted to fair value, with the change in fair value recognized in the Company’s condensed consolidated statement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Warrant entitles the holder thereof to purchase one- eighth of one Class A ordinary share of the Company, par value $0.0008 per share, for $</w:t>
      </w:r>
      <w:bookmarkStart w:id="628" w:name="xdx_90E_eus-gaap--ClassOfWarrantOrRightE"/>
      <w:bookmarkEnd w:id="628"/>
      <w:r>
        <w:rPr>
          <w:rFonts w:ascii="Times New Roman;Times;Serif" w:hAnsi="Times New Roman;Times;Serif"/>
          <w:b w:val="false"/>
          <w:i w:val="false"/>
          <w:caps w:val="false"/>
          <w:smallCaps w:val="false"/>
          <w:sz w:val="20"/>
        </w:rPr>
        <w:t>92.00 per share, subject to adjustment as described herein. Only whole Warrants are exercisable. A holder of the Warrants will not be able to exercise any fraction of a Warrant. The Warrants will expire at 5:00 p.m. New York City time on November 6, 2028, or earlier upon redemption or liquidation. On the exercise of any Warrant, the Warrant exercise price will be paid directly to 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outstanding Warrants:</w:t>
      </w:r>
    </w:p>
    <w:p>
      <w:pPr>
        <w:pStyle w:val="TextBody"/>
        <w:bidi w:val="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p>
      <w:pPr>
        <w:pStyle w:val="TextBody"/>
        <w:bidi w:val="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170"/>
        <w:gridCol w:w="3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w:t>
            </w:r>
          </w:p>
        </w:tc>
      </w:tr>
    </w:tbl>
    <w:p>
      <w:pPr>
        <w:pStyle w:val="TextBody"/>
        <w:bidi w:val="0"/>
        <w:jc w:val="center"/>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reported sales price of the Class A ordinary shares for any 20 trading days within a 30-trading day period ending on third trading day prior to the date on which the Company sends the notice of redemption to the Warrant holders (the “Reference Value”) equals or exceeds $</w:t>
            </w:r>
            <w:bookmarkStart w:id="629" w:name="xdx_902_ecustom--SalePrice_iI_pid_c20260"/>
            <w:bookmarkEnd w:id="629"/>
            <w:r>
              <w:rPr>
                <w:rFonts w:ascii="Times New Roman;Times;Serif" w:hAnsi="Times New Roman;Times;Serif"/>
                <w:b w:val="false"/>
                <w:i w:val="false"/>
                <w:caps w:val="false"/>
                <w:smallCaps w:val="false"/>
                <w:sz w:val="20"/>
              </w:rPr>
              <w:t>144.00 per Class A ordinary share (as adjusted); provided that the Private Placement Warrants will not be redeemable by the Company under this provision so long as they are held by the initial purchasers of the Private Placement Warrants or their permitted transferees.</w:t>
            </w:r>
          </w:p>
        </w:tc>
      </w:tr>
    </w:tbl>
    <w:p>
      <w:pPr>
        <w:pStyle w:val="TextBody"/>
        <w:bidi w:val="0"/>
        <w:jc w:val="left"/>
        <w:rPr>
          <w:caps w:val="false"/>
          <w:smallCaps w:val="false"/>
        </w:rPr>
      </w:pPr>
      <w:bookmarkStart w:id="630" w:name="xdx_239_z9vZzk6qv0o1"/>
      <w:bookmarkEnd w:id="63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redeem the outstanding Warrants:</w:t>
      </w:r>
    </w:p>
    <w:p>
      <w:pPr>
        <w:pStyle w:val="TextBody"/>
        <w:bidi w:val="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p>
      <w:pPr>
        <w:pStyle w:val="TextBody"/>
        <w:bidi w:val="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170"/>
        <w:gridCol w:w="1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$0.10 per warrant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provided that holders will be able to exercise their warrants on a cashless basis prior to redemption and receive that number of shares based on the redemption date and the fair market value of the Class A ordinary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Reference Value equals or exceeds $80.00 per Class A ordinary share (as adjusted); provided that if the Reference Value equals or exceeds $</w:t>
            </w:r>
            <w:bookmarkStart w:id="631" w:name="xdx_903_ecustom--SalePrice_iI_pid_c20260"/>
            <w:bookmarkEnd w:id="631"/>
            <w:r>
              <w:rPr>
                <w:rFonts w:ascii="Times New Roman;Times;Serif" w:hAnsi="Times New Roman;Times;Serif"/>
                <w:b w:val="false"/>
                <w:i w:val="false"/>
                <w:caps w:val="false"/>
                <w:smallCaps w:val="false"/>
                <w:sz w:val="20"/>
              </w:rPr>
              <w:t>144.00 per Class A ordinary share (as adjusted), the Private Placement Warrants will not be redeemable by the Company under this provision so long as they are held by the initial purchasers of the Private Placement Warrants or their permitted transferees.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Class A ordinary shares will be issued upon redemption. If, upon redemption, a holder would be entitled to receive a fractional interest in a share, the Company will round down to the nearest whole number of the number of Class A ordinary shares to be issued to the holder.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32" w:name="xdx_805_eus-gaap--StockholdersEquityNote"/>
      <w:bookmarkEnd w:id="632"/>
      <w:r>
        <w:rPr>
          <w:rFonts w:ascii="Times New Roman;Times;Serif" w:hAnsi="Times New Roman;Times;Serif"/>
          <w:b/>
          <w:i w:val="false"/>
          <w:caps w:val="false"/>
          <w:smallCaps w:val="false"/>
          <w:sz w:val="20"/>
        </w:rPr>
        <w:t xml:space="preserve">Note 12 - </w:t>
      </w:r>
      <w:bookmarkStart w:id="633" w:name="xdx_820_zswmxOPJkz1k"/>
      <w:bookmarkEnd w:id="633"/>
      <w:r>
        <w:rPr>
          <w:rFonts w:ascii="Times New Roman;Times;Serif" w:hAnsi="Times New Roman;Times;Serif"/>
          <w:b/>
          <w:i w:val="false"/>
          <w:caps w:val="false"/>
          <w:smallCaps w:val="false"/>
          <w:sz w:val="20"/>
        </w:rPr>
        <w:t>Redeemable Noncontrolling Interest and Shareholders’ Equity / (Deficit)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of changes in Redeemable Noncontrolling Interest and Shareholders’ Equity (Deficit) reflect the reverse recapitalization and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Consolidation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“Effective Time”), the Company implemented the one for-eight Share Consolidation of the Company’s Class A ordinary shares and the Company’s Class A ordinary shares began trading on a split-adjusted basis on the Nasdaq Stock Market at the commencement of trading on June 12, 2026. Refer to further details as discussed in Note 1 Organization and 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634" w:name="xdx_900_eus-gaap--PreferredStockSharesAu"/>
      <w:bookmarkEnd w:id="634"/>
      <w:r>
        <w:rPr>
          <w:rFonts w:ascii="Times New Roman;Times;Serif" w:hAnsi="Times New Roman;Times;Serif"/>
          <w:b w:val="false"/>
          <w:i w:val="false"/>
          <w:caps w:val="false"/>
          <w:smallCaps w:val="false"/>
          <w:sz w:val="20"/>
        </w:rPr>
        <w:t>5,000,000 shares of preference shares, par value $</w:t>
      </w:r>
      <w:bookmarkStart w:id="635" w:name="xdx_90B_eus-gaap--PreferredStockParOrSta"/>
      <w:bookmarkEnd w:id="635"/>
      <w:r>
        <w:rPr>
          <w:rFonts w:ascii="Times New Roman;Times;Serif" w:hAnsi="Times New Roman;Times;Serif"/>
          <w:b w:val="false"/>
          <w:i w:val="false"/>
          <w:caps w:val="false"/>
          <w:smallCaps w:val="false"/>
          <w:sz w:val="20"/>
        </w:rPr>
        <w:t xml:space="preserve">0.0001 per share, with such designations, voting and other rights and preferences as may be determined from time to time by the Company’s board of directors. As of June 30, 2026, there were </w:t>
      </w:r>
      <w:bookmarkStart w:id="636" w:name="xdx_90C_eus-gaap--PreferredStockSharesOu"/>
      <w:bookmarkStart w:id="637" w:name="xdx_904_eus-gaap--PreferredStockSharesIs"/>
      <w:bookmarkEnd w:id="636"/>
      <w:bookmarkEnd w:id="637"/>
      <w:r>
        <w:rPr>
          <w:rFonts w:ascii="Times New Roman;Times;Serif" w:hAnsi="Times New Roman;Times;Serif"/>
          <w:b w:val="false"/>
          <w:i w:val="false"/>
          <w:caps w:val="false"/>
          <w:smallCaps w:val="false"/>
          <w:sz w:val="20"/>
        </w:rPr>
        <w:t>no shares of preference shares issued or outstanding.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Share Consolidation, the total authorized number of Class A ordinary shares was correspondingly reduced from 500,000,000 with a par value of $0.0001 per share to </w:t>
      </w:r>
      <w:bookmarkStart w:id="638" w:name="xdx_905_eus-gaap--CommonStockSharesAutho"/>
      <w:bookmarkEnd w:id="638"/>
      <w:r>
        <w:rPr>
          <w:rFonts w:ascii="Times New Roman;Times;Serif" w:hAnsi="Times New Roman;Times;Serif"/>
          <w:b w:val="false"/>
          <w:i w:val="false"/>
          <w:caps w:val="false"/>
          <w:smallCaps w:val="false"/>
          <w:sz w:val="20"/>
        </w:rPr>
        <w:t>62,500,000 with a par value of $</w:t>
      </w:r>
      <w:bookmarkStart w:id="639" w:name="xdx_903_eus-gaap--CommonStockParOrStated"/>
      <w:bookmarkEnd w:id="639"/>
      <w:r>
        <w:rPr>
          <w:rFonts w:ascii="Times New Roman;Times;Serif" w:hAnsi="Times New Roman;Times;Serif"/>
          <w:b w:val="false"/>
          <w:i w:val="false"/>
          <w:caps w:val="false"/>
          <w:smallCaps w:val="false"/>
          <w:sz w:val="20"/>
        </w:rPr>
        <w:t>0.0008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number of issued and outstanding shares of the Company’s Class A ordinary shares was </w:t>
      </w:r>
      <w:bookmarkStart w:id="640" w:name="xdx_90B_eus-gaap--CommonStockSharesOutst"/>
      <w:bookmarkStart w:id="641" w:name="xdx_90D_eus-gaap--CommonStockSharesIssue"/>
      <w:bookmarkEnd w:id="640"/>
      <w:bookmarkEnd w:id="641"/>
      <w:r>
        <w:rPr>
          <w:rFonts w:ascii="Times New Roman;Times;Serif" w:hAnsi="Times New Roman;Times;Serif"/>
          <w:b w:val="false"/>
          <w:i w:val="false"/>
          <w:caps w:val="false"/>
          <w:smallCaps w:val="false"/>
          <w:sz w:val="20"/>
        </w:rPr>
        <w:t xml:space="preserve">5,642,911 (which includes </w:t>
      </w:r>
      <w:bookmarkStart w:id="642" w:name="xdx_906_eus-gaap--TemporaryEquitySharesO"/>
      <w:bookmarkEnd w:id="642"/>
      <w:r>
        <w:rPr>
          <w:rFonts w:ascii="Times New Roman;Times;Serif" w:hAnsi="Times New Roman;Times;Serif"/>
          <w:b w:val="false"/>
          <w:i w:val="false"/>
          <w:caps w:val="false"/>
          <w:smallCaps w:val="false"/>
          <w:sz w:val="20"/>
        </w:rPr>
        <w:t>226,508 Class A ordinary shares subject to the FPAs). Each Class A ordinary share carries one vote and entitles the shareholders to ratable rights in dividends and distributions as well as in the event of liquidation.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V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643" w:name="xdx_902_eus-gaap--CommonStockSharesAutho"/>
      <w:bookmarkEnd w:id="643"/>
      <w:r>
        <w:rPr>
          <w:rFonts w:ascii="Times New Roman;Times;Serif" w:hAnsi="Times New Roman;Times;Serif"/>
          <w:b w:val="false"/>
          <w:i w:val="false"/>
          <w:caps w:val="false"/>
          <w:smallCaps w:val="false"/>
          <w:sz w:val="20"/>
        </w:rPr>
        <w:t>1 Class V ordinary share with a par value of $</w:t>
      </w:r>
      <w:bookmarkStart w:id="644" w:name="xdx_900_eus-gaap--CommonStockParOrStated"/>
      <w:bookmarkEnd w:id="644"/>
      <w:r>
        <w:rPr>
          <w:rFonts w:ascii="Times New Roman;Times;Serif" w:hAnsi="Times New Roman;Times;Serif"/>
          <w:b w:val="false"/>
          <w:i w:val="false"/>
          <w:caps w:val="false"/>
          <w:smallCaps w:val="false"/>
          <w:sz w:val="20"/>
        </w:rPr>
        <w:t xml:space="preserve">0.0001 per share. As of June 30, 2026, there was </w:t>
      </w:r>
      <w:bookmarkStart w:id="645" w:name="xdx_900_eus-gaap--CommonStockSharesOutst"/>
      <w:bookmarkStart w:id="646" w:name="xdx_90D_eus-gaap--CommonStockSharesIssue"/>
      <w:bookmarkEnd w:id="645"/>
      <w:bookmarkEnd w:id="646"/>
      <w:r>
        <w:rPr>
          <w:rFonts w:ascii="Times New Roman;Times;Serif" w:hAnsi="Times New Roman;Times;Serif"/>
          <w:b w:val="false"/>
          <w:i w:val="false"/>
          <w:caps w:val="false"/>
          <w:smallCaps w:val="false"/>
          <w:sz w:val="20"/>
        </w:rPr>
        <w:t>1 Class V ordinary share issued and outstanding. The Class V share does not carry any direct economic rights in dividends and other distributions or in an event of liquidation. It does carry voting rights equal to 1.3% which will ratchet up to 51% voting rights upon occurrence of “extraordinary events” at the ATI level.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has </w:t>
      </w:r>
      <w:bookmarkStart w:id="647" w:name="xdx_902_eus-gaap--TreasuryStockSharesAcq"/>
      <w:bookmarkEnd w:id="647"/>
      <w:r>
        <w:rPr>
          <w:rFonts w:ascii="Times New Roman;Times;Serif" w:hAnsi="Times New Roman;Times;Serif"/>
          <w:b w:val="false"/>
          <w:i w:val="false"/>
          <w:caps w:val="false"/>
          <w:smallCaps w:val="false"/>
          <w:sz w:val="20"/>
        </w:rPr>
        <w:t>431,688 Class A ordinary shares held as treasury stock which were repurchased by the Company. The Company records treasury stock using the cost method.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 10b5-1 plan (the “March 10b5-1 Plan”) on March 23, 2026 to repurchase Class A ordinary shares, par value $0.0008 per share, and under which Roth Capital Partners, LLC (“Broker”) acts as its exclusive agent to execute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March 10b5-1 Plan period, Broker purchased on a daily basis the number of the Company’s Class A ordinary equal to the lesser of (i) the maximum number of shares permitted by the volume limitations and other conditions contained in Rule 10b-18 and any other applicable legal, regulatory or self-regulatory requirements, and (ii) the number of shares that may be purchased using the dollar amounts set forth below. The maximum amount for cumulative purchases was $3,000 (exclusive of commissions). The Company’s share repurchase program does not obligate the Company to acquire a minimum amount of shares. Under the program, shares maybe repurchased in privately negotiated or open market transactions, including under plans complying with Rule 10b5-1 under the Exchange Act. As of June 2026, the Company repurchased the maximum dollar amount of shares under the March 10b5-1 Plan and it was completed in accordance with its terms.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2026, the Company adopted a Rule 10b5-1 share repurchase plan with Broker to facilitate repurchases of its Class A ordinary shares in accordance with Rule 10b5-1 and the safe harbor provisions of Rule 10b-18 under the Exchange Act (the “June 10b5-1 Plan”). The June 10b5-1 Plan became effective on June 24, 2026, and authorizes Broker, as the Company’s exclusive broker, to repurchase shares pursuant to predetermined terms and conditions. The Company terminated the June 10b5-1 Plan on July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period ending June 30, 2026, the Company repurchased </w:t>
      </w:r>
      <w:bookmarkStart w:id="648" w:name="xdx_90F_eus-gaap--StockRepurchasedDuring"/>
      <w:bookmarkEnd w:id="648"/>
      <w:r>
        <w:rPr>
          <w:rFonts w:ascii="Times New Roman;Times;Serif" w:hAnsi="Times New Roman;Times;Serif"/>
          <w:b w:val="false"/>
          <w:i w:val="false"/>
          <w:caps w:val="false"/>
          <w:smallCaps w:val="false"/>
          <w:sz w:val="20"/>
        </w:rPr>
        <w:t>419,274 Class A ordinary shares for $</w:t>
      </w:r>
      <w:bookmarkStart w:id="649" w:name="xdx_903_ecustom--StocksRepurchasedDuring"/>
      <w:bookmarkEnd w:id="649"/>
      <w:r>
        <w:rPr>
          <w:rFonts w:ascii="Times New Roman;Times;Serif" w:hAnsi="Times New Roman;Times;Serif"/>
          <w:b w:val="false"/>
          <w:i w:val="false"/>
          <w:caps w:val="false"/>
          <w:smallCaps w:val="false"/>
          <w:sz w:val="20"/>
        </w:rPr>
        <w:t xml:space="preserve">2,157 inclusive of commission to be held as treasury stock at cost according to ASC 505. Further, the Company has cancelled </w:t>
      </w:r>
      <w:bookmarkStart w:id="650" w:name="xdx_902_ecustom--TreasuryStockCancelled_"/>
      <w:bookmarkEnd w:id="650"/>
      <w:r>
        <w:rPr>
          <w:rFonts w:ascii="Times New Roman;Times;Serif" w:hAnsi="Times New Roman;Times;Serif"/>
          <w:b w:val="false"/>
          <w:i w:val="false"/>
          <w:caps w:val="false"/>
          <w:smallCaps w:val="false"/>
          <w:sz w:val="20"/>
        </w:rPr>
        <w:t>362,330 repurchased Class A ordinary shares on April 17,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financing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2024, the Company entered into a private placement transaction (the “Private Placement”), pursuant to a Share Subscription Agreement (the “Share Subscription Agreement”) with an institutional accredited investor (the “Investor”) for aggregate gross proceeds of $</w:t>
      </w:r>
      <w:bookmarkStart w:id="651" w:name="xdx_909_eus-gaap--ProceedsFromCustomers_"/>
      <w:bookmarkEnd w:id="651"/>
      <w:r>
        <w:rPr>
          <w:rFonts w:ascii="Times New Roman;Times;Serif" w:hAnsi="Times New Roman;Times;Serif"/>
          <w:b w:val="false"/>
          <w:i w:val="false"/>
          <w:caps w:val="false"/>
          <w:smallCaps w:val="false"/>
          <w:sz w:val="20"/>
        </w:rPr>
        <w:t xml:space="preserve">5,000. The Private Placement closed on April 23, 2024. As part of the Private Placement, the Company agreed to sell an aggregate of </w:t>
      </w:r>
      <w:bookmarkStart w:id="652" w:name="xdx_90C_ecustom--OrdinaryShares_iI_pid_c"/>
      <w:bookmarkEnd w:id="652"/>
      <w:r>
        <w:rPr>
          <w:rFonts w:ascii="Times New Roman;Times;Serif" w:hAnsi="Times New Roman;Times;Serif"/>
          <w:b w:val="false"/>
          <w:i w:val="false"/>
          <w:caps w:val="false"/>
          <w:smallCaps w:val="false"/>
          <w:sz w:val="20"/>
        </w:rPr>
        <w:t>282,722 Class A ordinary shares, $0.0008 par value per share, at a purchase price of $</w:t>
      </w:r>
      <w:bookmarkStart w:id="653" w:name="xdx_904_ecustom--PurchasePrice_pid_c2024"/>
      <w:bookmarkEnd w:id="653"/>
      <w:r>
        <w:rPr>
          <w:rFonts w:ascii="Times New Roman;Times;Serif" w:hAnsi="Times New Roman;Times;Serif"/>
          <w:b w:val="false"/>
          <w:i w:val="false"/>
          <w:caps w:val="false"/>
          <w:smallCaps w:val="false"/>
          <w:sz w:val="20"/>
        </w:rPr>
        <w:t>17.68 per share subject to the Beneficial Ownership Limitation. The “Beneficial Ownership Limitation” was be 4.99% of the number of Class A ordinary shares outstanding immediately after giving effect to the issuance of the Class A ordinary shares to the Investor.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54" w:name="xdx_90E_ecustom--CustomaryRepresentation"/>
      <w:bookmarkEnd w:id="654"/>
      <w:r>
        <w:rPr>
          <w:rFonts w:ascii="Times New Roman;Times;Serif" w:hAnsi="Times New Roman;Times;Serif"/>
          <w:b w:val="false"/>
          <w:i w:val="false"/>
          <w:caps w:val="false"/>
          <w:smallCaps w:val="false"/>
          <w:sz w:val="20"/>
        </w:rPr>
        <w:t>The Share Subscription Agreement contains customary representations, warranties and covenants of the parties, and the closing was subject to customary closing conditions. The Company used the net proceeds of approximately $4,675 from the Private Placement, following a deduction of a 6.5% commission paid to a placement agent, for general corporate and working capital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closing of the Private Placement, the Company issued an aggregate of </w:t>
      </w:r>
      <w:bookmarkStart w:id="655" w:name="xdx_904_eus-gaap--StockIssuedDuringPerio"/>
      <w:bookmarkEnd w:id="655"/>
      <w:r>
        <w:rPr>
          <w:rFonts w:ascii="Times New Roman;Times;Serif" w:hAnsi="Times New Roman;Times;Serif"/>
          <w:b w:val="false"/>
          <w:i w:val="false"/>
          <w:caps w:val="false"/>
          <w:smallCaps w:val="false"/>
          <w:sz w:val="20"/>
        </w:rPr>
        <w:t>242,620 Class A ordinary shares at a purchase price of $</w:t>
      </w:r>
      <w:bookmarkStart w:id="656" w:name="xdx_90F_ecustom--PurchasePrice_pid_c2024"/>
      <w:bookmarkEnd w:id="656"/>
      <w:r>
        <w:rPr>
          <w:rFonts w:ascii="Times New Roman;Times;Serif" w:hAnsi="Times New Roman;Times;Serif"/>
          <w:b w:val="false"/>
          <w:i w:val="false"/>
          <w:caps w:val="false"/>
          <w:smallCaps w:val="false"/>
          <w:sz w:val="20"/>
        </w:rPr>
        <w:t xml:space="preserve">17.68 per share and reserved </w:t>
      </w:r>
      <w:bookmarkStart w:id="657" w:name="xdx_90D_eus-gaap--CommonStockCapitalShar"/>
      <w:bookmarkEnd w:id="657"/>
      <w:r>
        <w:rPr>
          <w:rFonts w:ascii="Times New Roman;Times;Serif" w:hAnsi="Times New Roman;Times;Serif"/>
          <w:b w:val="false"/>
          <w:i w:val="false"/>
          <w:caps w:val="false"/>
          <w:smallCaps w:val="false"/>
          <w:sz w:val="20"/>
        </w:rPr>
        <w:t xml:space="preserve">40,103 Class A ordinary shares in adherence to the Beneficial Ownership Limitation. On July 10, 2024 the Company issued an additional </w:t>
      </w:r>
      <w:bookmarkStart w:id="658" w:name="xdx_904_eus-gaap--CommonStockSharesIssue"/>
      <w:bookmarkEnd w:id="658"/>
      <w:r>
        <w:rPr>
          <w:rFonts w:ascii="Times New Roman;Times;Serif" w:hAnsi="Times New Roman;Times;Serif"/>
          <w:b w:val="false"/>
          <w:i w:val="false"/>
          <w:caps w:val="false"/>
          <w:smallCaps w:val="false"/>
          <w:sz w:val="20"/>
        </w:rPr>
        <w:t>33,853 shares and on September 25, 2025 issued the remaining 6,250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Pursuant to Exchange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Business Combination, the holders of AARK ordinary shares and ATGBA ordinary shares each entered into the Exchange Agreements. Pursuant to the Exchange Agreements, subject to certain exercise condition, each shareholder of AARK ordinary shares shall have the right to require the Company to provide Class A ordinary shares or cash in exchange for up to all of the AARK ordinary share. Each share of AARK may be exchanged for 280.75 Class A ordinary shares the Company subject to certain adjustments.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59" w:name="xdx_908_ecustom--ExchangeAgreementDescri"/>
      <w:bookmarkEnd w:id="659"/>
      <w:r>
        <w:rPr>
          <w:rFonts w:ascii="Times New Roman;Times;Serif" w:hAnsi="Times New Roman;Times;Serif"/>
          <w:b w:val="false"/>
          <w:i w:val="false"/>
          <w:caps w:val="false"/>
          <w:smallCaps w:val="false"/>
          <w:sz w:val="20"/>
        </w:rPr>
        <w:t>Pursuant to the Exchange Agreements, on April 5, 2024, the prior investor of AARK exchanged 9,500 ordinary shares of AARK for 2,667,125 Class A ordinary shares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22, 2025, the Company issued </w:t>
      </w:r>
      <w:bookmarkStart w:id="660" w:name="xdx_906_eus-gaap--StockIssuedDuringPerio"/>
      <w:bookmarkEnd w:id="660"/>
      <w:r>
        <w:rPr>
          <w:rFonts w:ascii="Times New Roman;Times;Serif" w:hAnsi="Times New Roman;Times;Serif"/>
          <w:b w:val="false"/>
          <w:i w:val="false"/>
          <w:caps w:val="false"/>
          <w:smallCaps w:val="false"/>
          <w:sz w:val="20"/>
        </w:rPr>
        <w:t>106,398 shares at a fair value of $</w:t>
      </w:r>
      <w:bookmarkStart w:id="661" w:name="xdx_909_eus-gaap--SharesIssuedPricePerSh"/>
      <w:bookmarkEnd w:id="661"/>
      <w:r>
        <w:rPr>
          <w:rFonts w:ascii="Times New Roman;Times;Serif" w:hAnsi="Times New Roman;Times;Serif"/>
          <w:b w:val="false"/>
          <w:i w:val="false"/>
          <w:caps w:val="false"/>
          <w:smallCaps w:val="false"/>
          <w:sz w:val="20"/>
        </w:rPr>
        <w:t>6.96 per share to Mr. Bhisham (Ajay) Khare pursuant to his Exchange Agreement for shares of ATGBA. As of June 30, 2026, Mr. Bhisham (Ajay) Khare is yet to transfer the shares and consequently a receivable of $</w:t>
      </w:r>
      <w:bookmarkStart w:id="662" w:name="xdx_90C_ecustom--ReceivableRecognized_pn"/>
      <w:bookmarkEnd w:id="662"/>
      <w:r>
        <w:rPr>
          <w:rFonts w:ascii="Times New Roman;Times;Serif" w:hAnsi="Times New Roman;Times;Serif"/>
          <w:b w:val="false"/>
          <w:i w:val="false"/>
          <w:caps w:val="false"/>
          <w:smallCaps w:val="false"/>
          <w:sz w:val="20"/>
        </w:rPr>
        <w:t>741 amount has been recognized.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Issued to FPA 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Company entered into a Letter Agreement with Sandia with respect to the Sandia FPA to offset the Company’s payment obligations by the proceeds received from sale of shares issued to Sandia under the Sandia FPA and for issuance of additional Class A ordinary shares, subject to terms provided therein. In December 2025, pursuant to the Letter Agreement, the Company issued </w:t>
      </w:r>
      <w:bookmarkStart w:id="663" w:name="xdx_902_eus-gaap--StockIssuedDuringPerio"/>
      <w:bookmarkEnd w:id="663"/>
      <w:r>
        <w:rPr>
          <w:rFonts w:ascii="Times New Roman;Times;Serif" w:hAnsi="Times New Roman;Times;Serif"/>
          <w:b w:val="false"/>
          <w:i w:val="false"/>
          <w:caps w:val="false"/>
          <w:smallCaps w:val="false"/>
          <w:sz w:val="20"/>
        </w:rPr>
        <w:t>169,488 additional Class A ordinary shares to Sandia calculated in accordance with the Letter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July 2026, after the reporting period, the Company paid Sandia $</w:t>
      </w:r>
      <w:bookmarkStart w:id="664" w:name="xdx_90E_ecustom--PaymentForExchange_iI_p"/>
      <w:bookmarkEnd w:id="664"/>
      <w:r>
        <w:rPr>
          <w:rFonts w:ascii="Times New Roman;Times;Serif" w:hAnsi="Times New Roman;Times;Serif"/>
          <w:b w:val="false"/>
          <w:i w:val="false"/>
          <w:caps w:val="false"/>
          <w:smallCaps w:val="false"/>
          <w:sz w:val="20"/>
        </w:rPr>
        <w:t xml:space="preserve">1,487 in exchange for return of </w:t>
      </w:r>
      <w:bookmarkStart w:id="665" w:name="xdx_907_eus-gaap--SaleOfStockNumberOfSha"/>
      <w:bookmarkEnd w:id="665"/>
      <w:r>
        <w:rPr>
          <w:rFonts w:ascii="Times New Roman;Times;Serif" w:hAnsi="Times New Roman;Times;Serif"/>
          <w:b w:val="false"/>
          <w:i w:val="false"/>
          <w:caps w:val="false"/>
          <w:smallCaps w:val="false"/>
          <w:sz w:val="20"/>
        </w:rPr>
        <w:t>226,509 Class A ordinary shares, which satisfied the Company’s outstanding obligations under the Sandia FPA.</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jc w:val="center"/>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Noncontrolling Interest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prior investors of AARK own </w:t>
      </w:r>
      <w:bookmarkStart w:id="666" w:name="xdx_90A_eus-gaap--MinorityInterestOwners"/>
      <w:bookmarkEnd w:id="666"/>
      <w:r>
        <w:rPr>
          <w:rFonts w:ascii="Times New Roman;Times;Serif" w:hAnsi="Times New Roman;Times;Serif"/>
          <w:b w:val="false"/>
          <w:i w:val="false"/>
          <w:caps w:val="false"/>
          <w:smallCaps w:val="false"/>
          <w:sz w:val="20"/>
        </w:rPr>
        <w:t xml:space="preserve">3.09% of the ordinary shares of AARK, and prior investors of ATGBA owned </w:t>
      </w:r>
      <w:bookmarkStart w:id="667" w:name="xdx_901_eus-gaap--MinorityInterestOwners"/>
      <w:bookmarkEnd w:id="667"/>
      <w:r>
        <w:rPr>
          <w:rFonts w:ascii="Times New Roman;Times;Serif" w:hAnsi="Times New Roman;Times;Serif"/>
          <w:b w:val="false"/>
          <w:i w:val="false"/>
          <w:caps w:val="false"/>
          <w:smallCaps w:val="false"/>
          <w:sz w:val="20"/>
        </w:rPr>
        <w:t>14.27% of the ordinary shares of ATGBA. The prior investors of AARK and ATGBA have the right to exchange their AARK or ATGBA ordinary shares for Class A ordinary shares of the Company based on the exchange ratio as set out in the Exchange Agreements, details of which are set out in Note 10, or cash proceeds based on the VWAP for each of the five consecutive trading days ending on the exchange date, but only if the approval from the Reserve Bank of India or other regulatory approvals are not obtained and subject to other conditions specified in the Exchange Agreements. The exchange is also subject to certain other specified conditions being met, including achieving certain financial and stock price milestones. Given that this is not solely in control of ATI, the noncontrolling interests have been accounted for in accordance with ASC 480-10-S99-1. The redeemable noncontrolling interest has initially been measured at the proportionate share in the net assets of AARK and its subsidiaries in accordance with ASC 805-40-30-3. The cash redemption is not considered to be probable on June 30, 2026 because the specified conditions in relation to EBITDA and revenue have already been met and the Reserve Bank of India and / or applicable regulatory approvals are expected to be received. On this basis the redeemable noncontrolling interest has subsequently been measured by attributing the net income/ loss of AARK pursuant to ASC 810-10.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68" w:name="xdx_804_ecustom--NonrenewalOfCustomerCon"/>
      <w:bookmarkEnd w:id="668"/>
      <w:r>
        <w:rPr>
          <w:rFonts w:ascii="Times New Roman;Times;Serif" w:hAnsi="Times New Roman;Times;Serif"/>
          <w:b/>
          <w:i w:val="false"/>
          <w:caps w:val="false"/>
          <w:smallCaps w:val="false"/>
          <w:sz w:val="20"/>
        </w:rPr>
        <w:t xml:space="preserve">Note 13 - </w:t>
      </w:r>
      <w:bookmarkStart w:id="669" w:name="xdx_82B_z8ZXDNN7Dfx9"/>
      <w:bookmarkEnd w:id="669"/>
      <w:r>
        <w:rPr>
          <w:rFonts w:ascii="Times New Roman;Times;Serif" w:hAnsi="Times New Roman;Times;Serif"/>
          <w:b/>
          <w:i w:val="false"/>
          <w:caps w:val="false"/>
          <w:smallCaps w:val="false"/>
          <w:sz w:val="20"/>
        </w:rPr>
        <w:t>Non-renewal of Customer Contract and Buyout Notice from Significant Customer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received a non-renewal notice on April 24, 2026, effective June 30, 2026 from a significant customer, expected to result in an annual revenue loss of approximately $</w:t>
      </w:r>
      <w:bookmarkStart w:id="670" w:name="xdx_908_ecustom--RevenueLoss_pn3n3_c2026"/>
      <w:bookmarkEnd w:id="670"/>
      <w:r>
        <w:rPr>
          <w:rFonts w:ascii="Times New Roman;Times;Serif" w:hAnsi="Times New Roman;Times;Serif"/>
          <w:b w:val="false"/>
          <w:i w:val="false"/>
          <w:caps w:val="false"/>
          <w:smallCaps w:val="false"/>
          <w:sz w:val="20"/>
        </w:rPr>
        <w:t>5,700. The success fee of approximately $</w:t>
      </w:r>
      <w:bookmarkStart w:id="671" w:name="xdx_90B_ecustom--BuyoutRevenues_pn3n3_c2"/>
      <w:bookmarkEnd w:id="671"/>
      <w:r>
        <w:rPr>
          <w:rFonts w:ascii="Times New Roman;Times;Serif" w:hAnsi="Times New Roman;Times;Serif"/>
          <w:b w:val="false"/>
          <w:i w:val="false"/>
          <w:caps w:val="false"/>
          <w:smallCaps w:val="false"/>
          <w:sz w:val="20"/>
        </w:rPr>
        <w:t>2,705 was received in connection with the conclusion of a client engagement.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72" w:name="xdx_802_eus-gaap--FairValueDisclosuresTe"/>
      <w:bookmarkEnd w:id="672"/>
      <w:r>
        <w:rPr>
          <w:rFonts w:ascii="Times New Roman;Times;Serif" w:hAnsi="Times New Roman;Times;Serif"/>
          <w:b/>
          <w:i w:val="false"/>
          <w:caps w:val="false"/>
          <w:smallCaps w:val="false"/>
          <w:sz w:val="20"/>
        </w:rPr>
        <w:t xml:space="preserve">Note 14 - </w:t>
      </w:r>
      <w:bookmarkStart w:id="673" w:name="xdx_824_zSQJ8t9YaAd9"/>
      <w:bookmarkEnd w:id="673"/>
      <w:r>
        <w:rPr>
          <w:rFonts w:ascii="Times New Roman;Times;Serif" w:hAnsi="Times New Roman;Times;Serif"/>
          <w:b/>
          <w:i w:val="false"/>
          <w:caps w:val="false"/>
          <w:smallCaps w:val="false"/>
          <w:sz w:val="20"/>
        </w:rPr>
        <w:t>Fair Value Measurements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financial instruments which were measured at fair value on a recurring basis using significant unobservable inputs (Level 3). Significant changes in the inputs could result in a significant change in the fair value measurements. See each respective footnote for information on the assumptions used in calculating the fair value of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information about the Company’s liabilities that are measured at fair value on a recurring basis as of June 30, 2026 and March 31, 2026, including the fair value hierarchy of the valuation techniques that the Company utilized to determine such fair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Liabilities Measured at Fair Value on a Recurring Basis: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4" w:name="xdx_895_eus-gaap--FairValueLiabilitiesMe"/>
      <w:bookmarkStart w:id="675" w:name="xdx_895_eus-gaap--FairValueLiabilitiesMe"/>
      <w:bookmarkEnd w:id="675"/>
    </w:p>
    <w:tbl>
      <w:tblPr>
        <w:tblW w:w="8322" w:type="dxa"/>
        <w:jc w:val="left"/>
        <w:tblInd w:w="0" w:type="dxa"/>
        <w:tblLayout w:type="fixed"/>
        <w:tblCellMar>
          <w:top w:w="0" w:type="dxa"/>
          <w:left w:w="0" w:type="dxa"/>
          <w:bottom w:w="0" w:type="dxa"/>
          <w:right w:w="0" w:type="dxa"/>
        </w:tblCellMar>
      </w:tblPr>
      <w:tblGrid>
        <w:gridCol w:w="5270"/>
        <w:gridCol w:w="60"/>
        <w:gridCol w:w="175"/>
        <w:gridCol w:w="474"/>
        <w:gridCol w:w="60"/>
        <w:gridCol w:w="60"/>
        <w:gridCol w:w="395"/>
        <w:gridCol w:w="254"/>
        <w:gridCol w:w="60"/>
        <w:gridCol w:w="60"/>
        <w:gridCol w:w="133"/>
        <w:gridCol w:w="516"/>
        <w:gridCol w:w="60"/>
        <w:gridCol w:w="60"/>
        <w:gridCol w:w="125"/>
        <w:gridCol w:w="485"/>
        <w:gridCol w:w="75"/>
      </w:tblGrid>
      <w:tr>
        <w:trPr/>
        <w:tc>
          <w:tcPr>
            <w:tcW w:w="527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676" w:name="xdx_8B2_zEKCc0FZkbvi"/>
            <w:bookmarkEnd w:id="676"/>
            <w:r>
              <w:rPr>
                <w:rFonts w:ascii="Times New Roman;Times;Serif" w:hAnsi="Times New Roman;Times;Serif"/>
                <w:b w:val="false"/>
                <w:i w:val="false"/>
                <w:caps w:val="false"/>
                <w:smallCaps w:val="false"/>
                <w:sz w:val="20"/>
              </w:rPr>
              <w:t>Summary of liabilities measured at fair value on a recurring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Purchase Agreement put option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77" w:name="xdx_900_eus-gaap--DerivativeLiabilities_"/>
            <w:bookmarkEnd w:id="677"/>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78" w:name="xdx_906_eus-gaap--DerivativeLiabilities_"/>
            <w:bookmarkEnd w:id="678"/>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79" w:name="xdx_900_eus-gaap--DerivativeLiabilities_"/>
            <w:bookmarkEnd w:id="679"/>
            <w:r>
              <w:rPr>
                <w:rFonts w:ascii="Times New Roman;Times;Serif" w:hAnsi="Times New Roman;Times;Serif"/>
                <w:b w:val="false"/>
                <w:i w:val="false"/>
                <w:caps w:val="false"/>
                <w:smallCaps w:val="false"/>
                <w:sz w:val="20"/>
              </w:rPr>
              <w:t>4,068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0" w:name="xdx_902_eus-gaap--DerivativeLiabilities_"/>
            <w:bookmarkEnd w:id="680"/>
            <w:r>
              <w:rPr>
                <w:rFonts w:ascii="Times New Roman;Times;Serif" w:hAnsi="Times New Roman;Times;Serif"/>
                <w:b w:val="false"/>
                <w:i w:val="false"/>
                <w:caps w:val="false"/>
                <w:smallCaps w:val="false"/>
                <w:sz w:val="20"/>
              </w:rPr>
              <w:t>4,068</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1" w:name="xdx_90D_eus-gaap--DerivativeLiabilities_"/>
            <w:bookmarkEnd w:id="681"/>
            <w:r>
              <w:rPr>
                <w:rFonts w:ascii="Times New Roman;Times;Serif" w:hAnsi="Times New Roman;Times;Serif"/>
                <w:b w:val="false"/>
                <w:i w:val="false"/>
                <w:caps w:val="false"/>
                <w:smallCaps w:val="false"/>
                <w:sz w:val="20"/>
              </w:rPr>
              <w:t>230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2" w:name="xdx_903_eus-gaap--DerivativeLiabilities_"/>
            <w:bookmarkEnd w:id="682"/>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3" w:name="xdx_904_eus-gaap--DerivativeLiabilities_"/>
            <w:bookmarkEnd w:id="683"/>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4" w:name="xdx_90C_eus-gaap--DerivativeLiabilities_"/>
            <w:bookmarkEnd w:id="684"/>
            <w:r>
              <w:rPr>
                <w:rFonts w:ascii="Times New Roman;Times;Serif" w:hAnsi="Times New Roman;Times;Serif"/>
                <w:b w:val="false"/>
                <w:i w:val="false"/>
                <w:caps w:val="false"/>
                <w:smallCaps w:val="false"/>
                <w:sz w:val="20"/>
              </w:rPr>
              <w:t>230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5" w:name="xdx_901_eus-gaap--DerivativeLiabilities_"/>
            <w:bookmarkEnd w:id="685"/>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6" w:name="xdx_900_eus-gaap--DerivativeLiabilities_"/>
            <w:bookmarkEnd w:id="686"/>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7" w:name="xdx_905_eus-gaap--DerivativeLiabilities_"/>
            <w:bookmarkEnd w:id="687"/>
            <w:r>
              <w:rPr>
                <w:rFonts w:ascii="Times New Roman;Times;Serif" w:hAnsi="Times New Roman;Times;Serif"/>
                <w:b w:val="false"/>
                <w:i w:val="false"/>
                <w:caps w:val="false"/>
                <w:smallCaps w:val="false"/>
                <w:sz w:val="20"/>
              </w:rPr>
              <w:t>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8" w:name="xdx_904_eus-gaap--DerivativeLiabilities_"/>
            <w:bookmarkEnd w:id="688"/>
            <w:r>
              <w:rPr>
                <w:rFonts w:ascii="Times New Roman;Times;Serif" w:hAnsi="Times New Roman;Times;Serif"/>
                <w:b w:val="false"/>
                <w:i w:val="false"/>
                <w:caps w:val="false"/>
                <w:smallCaps w:val="false"/>
                <w:sz w:val="20"/>
              </w:rPr>
              <w:t>191</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89" w:name="xdx_90E_eus-gaap--DerivativeLiabilities_"/>
            <w:bookmarkEnd w:id="689"/>
            <w:r>
              <w:rPr>
                <w:rFonts w:ascii="Times New Roman;Times;Serif" w:hAnsi="Times New Roman;Times;Serif"/>
                <w:b/>
                <w:i w:val="false"/>
                <w:caps w:val="false"/>
                <w:smallCaps w:val="false"/>
                <w:sz w:val="20"/>
              </w:rPr>
              <w:t>230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90" w:name="xdx_905_eus-gaap--DerivativeLiabilities_"/>
            <w:bookmarkEnd w:id="690"/>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91" w:name="xdx_90A_eus-gaap--DerivativeLiabilities_"/>
            <w:bookmarkEnd w:id="691"/>
            <w:r>
              <w:rPr>
                <w:rFonts w:ascii="Times New Roman;Times;Serif" w:hAnsi="Times New Roman;Times;Serif"/>
                <w:b/>
                <w:i w:val="false"/>
                <w:caps w:val="false"/>
                <w:smallCaps w:val="false"/>
                <w:sz w:val="20"/>
              </w:rPr>
              <w:t>4,259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692" w:name="xdx_90F_eus-gaap--DerivativeLiabilities_"/>
            <w:bookmarkEnd w:id="692"/>
            <w:r>
              <w:rPr>
                <w:rFonts w:ascii="Times New Roman;Times;Serif" w:hAnsi="Times New Roman;Times;Serif"/>
                <w:b/>
                <w:i w:val="false"/>
                <w:caps w:val="false"/>
                <w:smallCaps w:val="false"/>
                <w:sz w:val="20"/>
              </w:rPr>
              <w:t>4,489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7047" w:type="dxa"/>
        <w:jc w:val="left"/>
        <w:tblInd w:w="0" w:type="dxa"/>
        <w:tblLayout w:type="fixed"/>
        <w:tblCellMar>
          <w:top w:w="0" w:type="dxa"/>
          <w:left w:w="0" w:type="dxa"/>
          <w:bottom w:w="28" w:type="dxa"/>
          <w:right w:w="0" w:type="dxa"/>
        </w:tblCellMar>
      </w:tblPr>
      <w:tblGrid>
        <w:gridCol w:w="3995"/>
        <w:gridCol w:w="60"/>
        <w:gridCol w:w="175"/>
        <w:gridCol w:w="474"/>
        <w:gridCol w:w="60"/>
        <w:gridCol w:w="60"/>
        <w:gridCol w:w="395"/>
        <w:gridCol w:w="254"/>
        <w:gridCol w:w="60"/>
        <w:gridCol w:w="60"/>
        <w:gridCol w:w="133"/>
        <w:gridCol w:w="516"/>
        <w:gridCol w:w="60"/>
        <w:gridCol w:w="60"/>
        <w:gridCol w:w="125"/>
        <w:gridCol w:w="485"/>
        <w:gridCol w:w="75"/>
      </w:tblGrid>
      <w:tr>
        <w:trPr/>
        <w:tc>
          <w:tcPr>
            <w:tcW w:w="39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Purchase Agreement put option liability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93" w:name="xdx_90E_eus-gaap--DerivativeLiabilities_"/>
            <w:bookmarkEnd w:id="693"/>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94" w:name="xdx_905_eus-gaap--DerivativeLiabilities_"/>
            <w:bookmarkEnd w:id="694"/>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95" w:name="xdx_90E_eus-gaap--DerivativeLiabilities_"/>
            <w:bookmarkEnd w:id="695"/>
            <w:r>
              <w:rPr>
                <w:rFonts w:ascii="Times New Roman;Times;Serif" w:hAnsi="Times New Roman;Times;Serif"/>
                <w:b w:val="false"/>
                <w:i w:val="false"/>
                <w:caps w:val="false"/>
                <w:smallCaps w:val="false"/>
                <w:sz w:val="20"/>
              </w:rPr>
              <w:t>4,287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96" w:name="xdx_90B_eus-gaap--DerivativeLiabilities_"/>
            <w:bookmarkEnd w:id="696"/>
            <w:r>
              <w:rPr>
                <w:rFonts w:ascii="Times New Roman;Times;Serif" w:hAnsi="Times New Roman;Times;Serif"/>
                <w:b w:val="false"/>
                <w:i w:val="false"/>
                <w:caps w:val="false"/>
                <w:smallCaps w:val="false"/>
                <w:sz w:val="20"/>
              </w:rPr>
              <w:t>4,287</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97" w:name="xdx_905_eus-gaap--DerivativeLiabilities_"/>
            <w:bookmarkEnd w:id="697"/>
            <w:r>
              <w:rPr>
                <w:rFonts w:ascii="Times New Roman;Times;Serif" w:hAnsi="Times New Roman;Times;Serif"/>
                <w:b w:val="false"/>
                <w:i w:val="false"/>
                <w:caps w:val="false"/>
                <w:smallCaps w:val="false"/>
                <w:sz w:val="20"/>
              </w:rPr>
              <w:t>230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98" w:name="xdx_904_eus-gaap--DerivativeLiabilities_"/>
            <w:bookmarkEnd w:id="698"/>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99" w:name="xdx_903_eus-gaap--DerivativeLiabilities_"/>
            <w:bookmarkEnd w:id="699"/>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0" w:name="xdx_901_eus-gaap--DerivativeLiabilities_"/>
            <w:bookmarkEnd w:id="700"/>
            <w:r>
              <w:rPr>
                <w:rFonts w:ascii="Times New Roman;Times;Serif" w:hAnsi="Times New Roman;Times;Serif"/>
                <w:b w:val="false"/>
                <w:i w:val="false"/>
                <w:caps w:val="false"/>
                <w:smallCaps w:val="false"/>
                <w:sz w:val="20"/>
              </w:rPr>
              <w:t>230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 Warrants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1" w:name="xdx_904_eus-gaap--DerivativeLiabilities_"/>
            <w:bookmarkEnd w:id="701"/>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2" w:name="xdx_908_eus-gaap--DerivativeLiabilities_"/>
            <w:bookmarkEnd w:id="702"/>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3" w:name="xdx_90C_eus-gaap--DerivativeLiabilities_"/>
            <w:bookmarkEnd w:id="703"/>
            <w:r>
              <w:rPr>
                <w:rFonts w:ascii="Times New Roman;Times;Serif" w:hAnsi="Times New Roman;Times;Serif"/>
                <w:b w:val="false"/>
                <w:i w:val="false"/>
                <w:caps w:val="false"/>
                <w:smallCaps w:val="false"/>
                <w:sz w:val="20"/>
              </w:rPr>
              <w:t>191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4" w:name="xdx_902_eus-gaap--DerivativeLiabilities_"/>
            <w:bookmarkEnd w:id="704"/>
            <w:r>
              <w:rPr>
                <w:rFonts w:ascii="Times New Roman;Times;Serif" w:hAnsi="Times New Roman;Times;Serif"/>
                <w:b w:val="false"/>
                <w:i w:val="false"/>
                <w:caps w:val="false"/>
                <w:smallCaps w:val="false"/>
                <w:sz w:val="20"/>
              </w:rPr>
              <w:t>191</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705" w:name="xdx_901_eus-gaap--DerivativeLiabilities_"/>
            <w:bookmarkEnd w:id="705"/>
            <w:r>
              <w:rPr>
                <w:rFonts w:ascii="Times New Roman;Times;Serif" w:hAnsi="Times New Roman;Times;Serif"/>
                <w:b/>
                <w:i w:val="false"/>
                <w:caps w:val="false"/>
                <w:smallCaps w:val="false"/>
                <w:sz w:val="20"/>
              </w:rPr>
              <w:t>230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706" w:name="xdx_904_eus-gaap--DerivativeLiabilities_"/>
            <w:bookmarkEnd w:id="706"/>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707" w:name="xdx_90A_eus-gaap--DerivativeLiabilities_"/>
            <w:bookmarkEnd w:id="707"/>
            <w:r>
              <w:rPr>
                <w:rFonts w:ascii="Times New Roman;Times;Serif" w:hAnsi="Times New Roman;Times;Serif"/>
                <w:b/>
                <w:i w:val="false"/>
                <w:caps w:val="false"/>
                <w:smallCaps w:val="false"/>
                <w:sz w:val="20"/>
              </w:rPr>
              <w:t>4,478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708" w:name="xdx_909_eus-gaap--DerivativeLiabilities_"/>
            <w:bookmarkEnd w:id="708"/>
            <w:r>
              <w:rPr>
                <w:rFonts w:ascii="Times New Roman;Times;Serif" w:hAnsi="Times New Roman;Times;Serif"/>
                <w:b/>
                <w:i w:val="false"/>
                <w:caps w:val="false"/>
                <w:smallCaps w:val="false"/>
                <w:sz w:val="20"/>
              </w:rPr>
              <w:t>4,708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709" w:name="xdx_8A7_zHAbZ1roBym1"/>
      <w:bookmarkEnd w:id="709"/>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the FPA put option liability of $</w:t>
      </w:r>
      <w:bookmarkStart w:id="710" w:name="xdx_906_ecustom--ChangeInFairValueGain_p"/>
      <w:bookmarkEnd w:id="710"/>
      <w:r>
        <w:rPr>
          <w:rFonts w:ascii="Times New Roman;Times;Serif" w:hAnsi="Times New Roman;Times;Serif"/>
          <w:b w:val="false"/>
          <w:i w:val="false"/>
          <w:caps w:val="false"/>
          <w:smallCaps w:val="false"/>
          <w:sz w:val="20"/>
        </w:rPr>
        <w:t>7 has been recorded to change in fair value of FPA put option liability for the three months ended June 30, 2026 and in the Company’s condensed consolidated statements of operations. The FPA put option liability was classified as a current liability, as its liquidation is reasonably expected to use or require current assets or the creation of current liabilities. See also Notes 2 and 11. The estimated fair value of the FPA put option liability was calculated using a Monte Carlo model and used significant assumptions including the risk-free rate and volatility. The change in fair value of the FPA put option liability is primarily driven by a decrease in the price per share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remaining balance owed to the FPA holders is $</w:t>
      </w:r>
      <w:bookmarkStart w:id="711" w:name="xdx_906_ecustom--SettlementOfAccountsPay"/>
      <w:bookmarkEnd w:id="711"/>
      <w:r>
        <w:rPr>
          <w:rFonts w:ascii="Times New Roman;Times;Serif" w:hAnsi="Times New Roman;Times;Serif"/>
          <w:b w:val="false"/>
          <w:i w:val="false"/>
          <w:caps w:val="false"/>
          <w:smallCaps w:val="false"/>
          <w:sz w:val="20"/>
        </w:rPr>
        <w:t>4,068, which may be settled either in cash or in equity, at the option of the investors.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 FPA put option liability was made using the following assumptions as of June 30, 2026:</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12" w:name="xdx_89F_ecustom--ScheduleOfPurchaseAgree"/>
      <w:bookmarkStart w:id="713" w:name="xdx_89F_ecustom--ScheduleOfPurchaseAgree"/>
      <w:bookmarkEnd w:id="713"/>
    </w:p>
    <w:tbl>
      <w:tblPr>
        <w:tblW w:w="3345" w:type="dxa"/>
        <w:jc w:val="left"/>
        <w:tblInd w:w="0" w:type="dxa"/>
        <w:tblLayout w:type="fixed"/>
        <w:tblCellMar>
          <w:top w:w="0" w:type="dxa"/>
          <w:left w:w="0" w:type="dxa"/>
          <w:bottom w:w="0" w:type="dxa"/>
          <w:right w:w="0" w:type="dxa"/>
        </w:tblCellMar>
      </w:tblPr>
      <w:tblGrid>
        <w:gridCol w:w="2645"/>
        <w:gridCol w:w="60"/>
        <w:gridCol w:w="60"/>
        <w:gridCol w:w="380"/>
        <w:gridCol w:w="200"/>
      </w:tblGrid>
      <w:tr>
        <w:trPr/>
        <w:tc>
          <w:tcPr>
            <w:tcW w:w="264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714" w:name="xdx_8BC_zy00k18IOQ44"/>
            <w:bookmarkEnd w:id="714"/>
            <w:r>
              <w:rPr>
                <w:rFonts w:ascii="Times New Roman;Times;Serif" w:hAnsi="Times New Roman;Times;Serif"/>
                <w:b w:val="false"/>
                <w:i w:val="false"/>
                <w:caps w:val="false"/>
                <w:smallCaps w:val="false"/>
                <w:sz w:val="20"/>
              </w:rPr>
              <w:t>Schedule of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15" w:name="xdx_90F_ecustom--InterestRate_pid_dp_c20"/>
            <w:bookmarkEnd w:id="715"/>
            <w:r>
              <w:rPr>
                <w:rFonts w:ascii="Times New Roman;Times;Serif" w:hAnsi="Times New Roman;Times;Serif"/>
                <w:b w:val="false"/>
                <w:i w:val="false"/>
                <w:caps w:val="false"/>
                <w:smallCaps w:val="false"/>
                <w:sz w:val="20"/>
              </w:rPr>
              <w:t>15.0</w:t>
            </w:r>
          </w:p>
        </w:tc>
        <w:tc>
          <w:tcPr>
            <w:tcW w:w="2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16" w:name="xdx_900_ecustom--CostOfDebt_pid_dp_c2026"/>
            <w:bookmarkEnd w:id="716"/>
            <w:r>
              <w:rPr>
                <w:rFonts w:ascii="Times New Roman;Times;Serif" w:hAnsi="Times New Roman;Times;Serif"/>
                <w:b w:val="false"/>
                <w:i w:val="false"/>
                <w:caps w:val="false"/>
                <w:smallCaps w:val="false"/>
                <w:sz w:val="20"/>
              </w:rPr>
              <w:t>4.3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bookmarkStart w:id="717" w:name="xdx_8A6_z4ztzESDCffl"/>
      <w:bookmarkEnd w:id="71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the Public Warrants have a listed price available, the Company classified them as Level 1. The Company has classified the Private Placement Warrants within Level 3 of the hierarchy as the fair value derived using the Black-Scholes option pricing model, which uses a combination of observable (Level 2) and unobservable (Level 3) inputs. There were no transfers between fair value levels during the three months ended June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 liability for the Private Placement Warrants was made using the following assumptions as of June 30, 2026:</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18" w:name="xdx_89B_ecustom--ScheduleOfDerivativeCon"/>
      <w:bookmarkStart w:id="719" w:name="xdx_89B_ecustom--ScheduleOfDerivativeCon"/>
      <w:bookmarkEnd w:id="719"/>
    </w:p>
    <w:tbl>
      <w:tblPr>
        <w:tblW w:w="4850" w:type="dxa"/>
        <w:jc w:val="left"/>
        <w:tblInd w:w="0" w:type="dxa"/>
        <w:tblLayout w:type="fixed"/>
        <w:tblCellMar>
          <w:top w:w="0" w:type="dxa"/>
          <w:left w:w="0" w:type="dxa"/>
          <w:bottom w:w="0" w:type="dxa"/>
          <w:right w:w="0" w:type="dxa"/>
        </w:tblCellMar>
      </w:tblPr>
      <w:tblGrid>
        <w:gridCol w:w="3620"/>
        <w:gridCol w:w="60"/>
        <w:gridCol w:w="125"/>
        <w:gridCol w:w="845"/>
        <w:gridCol w:w="200"/>
      </w:tblGrid>
      <w:tr>
        <w:trPr/>
        <w:tc>
          <w:tcPr>
            <w:tcW w:w="362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720" w:name="xdx_8B2_zgD7sI56kCi5"/>
            <w:bookmarkEnd w:id="720"/>
            <w:r>
              <w:rPr>
                <w:rFonts w:ascii="Times New Roman;Times;Serif" w:hAnsi="Times New Roman;Times;Serif"/>
                <w:b w:val="false"/>
                <w:i w:val="false"/>
                <w:caps w:val="false"/>
                <w:smallCaps w:val="false"/>
                <w:sz w:val="20"/>
              </w:rPr>
              <w:t>Schedule of derivative contract assumptions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21" w:name="xdx_90E_eus-gaap--SharebasedCompensation"/>
            <w:bookmarkEnd w:id="721"/>
            <w:r>
              <w:rPr>
                <w:rFonts w:ascii="Times New Roman;Times;Serif" w:hAnsi="Times New Roman;Times;Serif"/>
                <w:b w:val="false"/>
                <w:i w:val="false"/>
                <w:caps w:val="false"/>
                <w:smallCaps w:val="false"/>
                <w:sz w:val="20"/>
              </w:rPr>
              <w:t>2.36 years</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22" w:name="xdx_902_eus-gaap--ShareBasedCompensation"/>
            <w:bookmarkEnd w:id="722"/>
            <w:r>
              <w:rPr>
                <w:rFonts w:ascii="Times New Roman;Times;Serif" w:hAnsi="Times New Roman;Times;Serif"/>
                <w:b w:val="false"/>
                <w:i w:val="false"/>
                <w:caps w:val="false"/>
                <w:smallCaps w:val="false"/>
                <w:sz w:val="20"/>
              </w:rPr>
              <w:t>15</w:t>
            </w:r>
          </w:p>
        </w:tc>
        <w:tc>
          <w:tcPr>
            <w:tcW w:w="2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 at measurement date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23" w:name="xdx_903_ecustom--StockPriceAtMeasurement"/>
            <w:bookmarkEnd w:id="723"/>
            <w:r>
              <w:rPr>
                <w:rFonts w:ascii="Times New Roman;Times;Serif" w:hAnsi="Times New Roman;Times;Serif"/>
                <w:b w:val="false"/>
                <w:i w:val="false"/>
                <w:caps w:val="false"/>
                <w:smallCaps w:val="false"/>
                <w:sz w:val="20"/>
              </w:rPr>
              <w:t>7.25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724" w:name="xdx_8A8_zrfMIYFqqep1"/>
      <w:bookmarkEnd w:id="72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summary of the changes in the fair value of Derivative Liabilities: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25" w:name="xdx_899_eus-gaap--FairValueNetDerivative"/>
      <w:bookmarkStart w:id="726" w:name="xdx_899_eus-gaap--FairValueNetDerivative"/>
      <w:bookmarkEnd w:id="726"/>
    </w:p>
    <w:tbl>
      <w:tblPr>
        <w:tblW w:w="9655" w:type="dxa"/>
        <w:jc w:val="left"/>
        <w:tblInd w:w="0" w:type="dxa"/>
        <w:tblLayout w:type="fixed"/>
        <w:tblCellMar>
          <w:top w:w="0" w:type="dxa"/>
          <w:left w:w="0" w:type="dxa"/>
          <w:bottom w:w="0" w:type="dxa"/>
          <w:right w:w="0" w:type="dxa"/>
        </w:tblCellMar>
      </w:tblPr>
      <w:tblGrid>
        <w:gridCol w:w="5885"/>
        <w:gridCol w:w="60"/>
        <w:gridCol w:w="194"/>
        <w:gridCol w:w="756"/>
        <w:gridCol w:w="80"/>
        <w:gridCol w:w="60"/>
        <w:gridCol w:w="209"/>
        <w:gridCol w:w="561"/>
        <w:gridCol w:w="60"/>
        <w:gridCol w:w="60"/>
        <w:gridCol w:w="245"/>
        <w:gridCol w:w="660"/>
        <w:gridCol w:w="60"/>
        <w:gridCol w:w="60"/>
        <w:gridCol w:w="125"/>
        <w:gridCol w:w="485"/>
        <w:gridCol w:w="95"/>
      </w:tblGrid>
      <w:tr>
        <w:trPr/>
        <w:tc>
          <w:tcPr>
            <w:tcW w:w="588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727" w:name="xdx_8B1_zYGPlNXZMmea"/>
            <w:bookmarkEnd w:id="727"/>
            <w:r>
              <w:rPr>
                <w:rFonts w:ascii="Times New Roman;Times;Serif" w:hAnsi="Times New Roman;Times;Serif"/>
                <w:b w:val="false"/>
                <w:i w:val="false"/>
                <w:caps w:val="false"/>
                <w:smallCaps w:val="false"/>
                <w:sz w:val="20"/>
              </w:rPr>
              <w:t>Summary of the changes in the fair value of derivative warrant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w:t>
              <w:br/>
              <w:t>Purchase</w:t>
              <w:br/>
              <w:t>Agreement</w:t>
              <w:br/>
              <w:t>Put Option</w:t>
              <w:br/>
              <w:t>Liability</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w:t>
              <w:br/>
              <w:t>Warrant</w:t>
              <w:br/>
              <w:t>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w:t>
              <w:br/>
              <w:t>Placement</w:t>
              <w:br/>
              <w:t>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at April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28" w:name="xdx_907_eus-gaap--FairValueNetDerivative"/>
            <w:bookmarkEnd w:id="728"/>
            <w:r>
              <w:rPr>
                <w:rFonts w:ascii="Times New Roman;Times;Serif" w:hAnsi="Times New Roman;Times;Serif"/>
                <w:b w:val="false"/>
                <w:i w:val="false"/>
                <w:caps w:val="false"/>
                <w:smallCaps w:val="false"/>
                <w:sz w:val="20"/>
              </w:rPr>
              <w:t>4,287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29" w:name="xdx_909_eus-gaap--FairValueNetDerivative"/>
            <w:bookmarkEnd w:id="729"/>
            <w:r>
              <w:rPr>
                <w:rFonts w:ascii="Times New Roman;Times;Serif" w:hAnsi="Times New Roman;Times;Serif"/>
                <w:b w:val="false"/>
                <w:i w:val="false"/>
                <w:caps w:val="false"/>
                <w:smallCaps w:val="false"/>
                <w:sz w:val="20"/>
              </w:rPr>
              <w:t>230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0" w:name="xdx_903_eus-gaap--FairValueNetDerivative"/>
            <w:bookmarkEnd w:id="730"/>
            <w:r>
              <w:rPr>
                <w:rFonts w:ascii="Times New Roman;Times;Serif" w:hAnsi="Times New Roman;Times;Serif"/>
                <w:b w:val="false"/>
                <w:i w:val="false"/>
                <w:caps w:val="false"/>
                <w:smallCaps w:val="false"/>
                <w:sz w:val="20"/>
              </w:rPr>
              <w:t>191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1" w:name="xdx_90A_eus-gaap--FairValueNetDerivative"/>
            <w:bookmarkEnd w:id="731"/>
            <w:r>
              <w:rPr>
                <w:rFonts w:ascii="Times New Roman;Times;Serif" w:hAnsi="Times New Roman;Times;Serif"/>
                <w:b w:val="false"/>
                <w:i w:val="false"/>
                <w:caps w:val="false"/>
                <w:smallCaps w:val="false"/>
                <w:sz w:val="20"/>
              </w:rPr>
              <w:t>4,708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(gain) /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2" w:name="xdx_90A_ecustom--FairValueNetDerivativeA"/>
            <w:bookmarkEnd w:id="732"/>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3" w:name="xdx_904_ecustom--FairValueNetDerivativeA"/>
            <w:bookmarkEnd w:id="733"/>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4" w:name="xdx_90A_ecustom--FairValueNetDerivativeA"/>
            <w:bookmarkEnd w:id="734"/>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5" w:name="xdx_90C_ecustom--FairValueNetDerivativeA"/>
            <w:bookmarkEnd w:id="735"/>
            <w:r>
              <w:rPr>
                <w:rFonts w:ascii="Times New Roman;Times;Serif" w:hAnsi="Times New Roman;Times;Serif"/>
                <w:b w:val="false"/>
                <w:i w:val="false"/>
                <w:caps w:val="false"/>
                <w:smallCaps w:val="false"/>
                <w:sz w:val="20"/>
              </w:rPr>
              <w:t>7</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FPA put option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6" w:name="xdx_90F_ecustom--SettlementOfForwardPurc"/>
            <w:bookmarkEnd w:id="736"/>
            <w:r>
              <w:rPr>
                <w:rFonts w:ascii="Times New Roman;Times;Serif" w:hAnsi="Times New Roman;Times;Serif"/>
                <w:b w:val="false"/>
                <w:i w:val="false"/>
                <w:caps w:val="false"/>
                <w:smallCaps w:val="false"/>
                <w:sz w:val="20"/>
              </w:rPr>
              <w:t>(225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7" w:name="xdx_904_ecustom--SettlementOfForwardPurc"/>
            <w:bookmarkEnd w:id="737"/>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8" w:name="xdx_901_ecustom--SettlementOfForwardPurc"/>
            <w:bookmarkEnd w:id="738"/>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9" w:name="xdx_90F_ecustom--SettlementOfForwardPurc"/>
            <w:bookmarkEnd w:id="739"/>
            <w:r>
              <w:rPr>
                <w:rFonts w:ascii="Times New Roman;Times;Serif" w:hAnsi="Times New Roman;Times;Serif"/>
                <w:b w:val="false"/>
                <w:i w:val="false"/>
                <w:caps w:val="false"/>
                <w:smallCaps w:val="false"/>
                <w:sz w:val="20"/>
              </w:rPr>
              <w:t>(225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as of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740" w:name="xdx_90E_eus-gaap--FairValueNetDerivative"/>
            <w:bookmarkEnd w:id="740"/>
            <w:r>
              <w:rPr>
                <w:rFonts w:ascii="Times New Roman;Times;Serif" w:hAnsi="Times New Roman;Times;Serif"/>
                <w:b/>
                <w:i w:val="false"/>
                <w:caps w:val="false"/>
                <w:smallCaps w:val="false"/>
                <w:sz w:val="20"/>
              </w:rPr>
              <w:t>4,068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741" w:name="xdx_905_eus-gaap--FairValueNetDerivative"/>
            <w:bookmarkEnd w:id="741"/>
            <w:r>
              <w:rPr>
                <w:rFonts w:ascii="Times New Roman;Times;Serif" w:hAnsi="Times New Roman;Times;Serif"/>
                <w:b/>
                <w:i w:val="false"/>
                <w:caps w:val="false"/>
                <w:smallCaps w:val="false"/>
                <w:sz w:val="20"/>
              </w:rPr>
              <w:t>230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742" w:name="xdx_90C_eus-gaap--FairValueNetDerivative"/>
            <w:bookmarkEnd w:id="742"/>
            <w:r>
              <w:rPr>
                <w:rFonts w:ascii="Times New Roman;Times;Serif" w:hAnsi="Times New Roman;Times;Serif"/>
                <w:b/>
                <w:i w:val="false"/>
                <w:caps w:val="false"/>
                <w:smallCaps w:val="false"/>
                <w:sz w:val="20"/>
              </w:rPr>
              <w:t>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743" w:name="xdx_905_eus-gaap--FairValueNetDerivative"/>
            <w:bookmarkEnd w:id="743"/>
            <w:r>
              <w:rPr>
                <w:rFonts w:ascii="Times New Roman;Times;Serif" w:hAnsi="Times New Roman;Times;Serif"/>
                <w:b/>
                <w:i w:val="false"/>
                <w:caps w:val="false"/>
                <w:smallCaps w:val="false"/>
                <w:sz w:val="20"/>
              </w:rPr>
              <w:t>4,489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744" w:name="xdx_8AF_z88ee357WUtk"/>
      <w:bookmarkEnd w:id="74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expected VWAP as of inception and as of June 30, 2026 it is not expected that ATI would be required to issue additional Class A ordinary shares to certain vendors. On this basis, fair value of the derivative financial instrument representing ATI’s obligation to issue additional Class A ordinary shares has been determined to be insignificant on initial recognition as well as of June 30, 2026 and accordingly the quantitative disclosures in relation to the fair value have not been provided.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jc w:val="center"/>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45" w:name="xdx_80C_eus-gaap--EarningsPerShareTextBl"/>
      <w:bookmarkEnd w:id="745"/>
      <w:r>
        <w:rPr>
          <w:rFonts w:ascii="Times New Roman;Times;Serif" w:hAnsi="Times New Roman;Times;Serif"/>
          <w:b/>
          <w:i w:val="false"/>
          <w:caps w:val="false"/>
          <w:smallCaps w:val="false"/>
          <w:sz w:val="20"/>
        </w:rPr>
        <w:t xml:space="preserve">Note 15 - </w:t>
      </w:r>
      <w:bookmarkStart w:id="746" w:name="xdx_82A_zWQMFj0iFM6g"/>
      <w:bookmarkEnd w:id="746"/>
      <w:r>
        <w:rPr>
          <w:rFonts w:ascii="Times New Roman;Times;Serif" w:hAnsi="Times New Roman;Times;Serif"/>
          <w:b/>
          <w:i w:val="false"/>
          <w:caps w:val="false"/>
          <w:smallCaps w:val="false"/>
          <w:sz w:val="20"/>
        </w:rPr>
        <w:t>Net Income / (loss)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 (loss) per share (“EPS”) attributable to Class A ordinary shareholders is calculated by dividing net income / (loss) attributable to Class A ordinary shareholders by the weighted number of Class A ordinary shares outstanding during the reporting period. Diluted EPS is computed using the weighted number of Class A ordinary shares and, when dilutive, potential outstanding shares during the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V ordinary share does not participate in the earnings or losses of the Company and are therefore not participating securities. As such, separate presentation of basic and diluted net income / (loss) per Class V ordinary share under the two-class method has not been presented.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income / (loss) per share for the period three months ended June 30, 2026 and June 30, 2025 (in thousands, except share and per share amounts):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47" w:name="xdx_886_eus-gaap--ScheduleOfEarningsPerS"/>
      <w:bookmarkStart w:id="748" w:name="xdx_886_eus-gaap--ScheduleOfEarningsPerS"/>
      <w:bookmarkEnd w:id="748"/>
    </w:p>
    <w:tbl>
      <w:tblPr>
        <w:tblW w:w="10205" w:type="dxa"/>
        <w:jc w:val="left"/>
        <w:tblInd w:w="0" w:type="dxa"/>
        <w:tblLayout w:type="fixed"/>
        <w:tblCellMar>
          <w:top w:w="0" w:type="dxa"/>
          <w:left w:w="0" w:type="dxa"/>
          <w:bottom w:w="0" w:type="dxa"/>
          <w:right w:w="0" w:type="dxa"/>
        </w:tblCellMar>
      </w:tblPr>
      <w:tblGrid>
        <w:gridCol w:w="8010"/>
        <w:gridCol w:w="60"/>
        <w:gridCol w:w="125"/>
        <w:gridCol w:w="845"/>
        <w:gridCol w:w="60"/>
        <w:gridCol w:w="60"/>
        <w:gridCol w:w="125"/>
        <w:gridCol w:w="845"/>
        <w:gridCol w:w="75"/>
      </w:tblGrid>
      <w:tr>
        <w:trPr/>
        <w:tc>
          <w:tcPr>
            <w:tcW w:w="801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749" w:name="xdx_8B9_zqEVnmnypM1d"/>
            <w:bookmarkEnd w:id="749"/>
            <w:r>
              <w:rPr>
                <w:rFonts w:ascii="Times New Roman;Times;Serif" w:hAnsi="Times New Roman;Times;Serif"/>
                <w:b w:val="false"/>
                <w:i w:val="false"/>
                <w:caps w:val="false"/>
                <w:smallCaps w:val="false"/>
                <w:sz w:val="20"/>
              </w:rPr>
              <w:t>Schedule of reconciliation of net income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0" w:name="xdx_49D_20260401__20260630_zS0ZjVTyeJzc"/>
            <w:bookmarkEnd w:id="750"/>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1" w:name="xdx_494_20250401__20250630_zQejv5I4va36"/>
            <w:bookmarkEnd w:id="751"/>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752" w:name="xdx_404_eus-gaap--NetIncomeLossAvailable"/>
            <w:bookmarkEnd w:id="752"/>
          </w:p>
        </w:tc>
      </w:tr>
      <w:tr>
        <w:trPr/>
        <w:tc>
          <w:tcPr>
            <w:tcW w:w="8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controlling interest for the period for Basic and Dilutive Earning per share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753" w:name="xdx_403_eus-gaap--WeightedAverageNumberO"/>
            <w:bookmarkEnd w:id="753"/>
          </w:p>
        </w:tc>
      </w:tr>
      <w:tr>
        <w:trPr/>
        <w:tc>
          <w:tcPr>
            <w:tcW w:w="8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of Class A ordinary shares, basic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5,788,210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5,894,078</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754" w:name="xdx_406_eus-gaap--WeightedAverageNumberO"/>
            <w:bookmarkEnd w:id="754"/>
          </w:p>
        </w:tc>
      </w:tr>
      <w:tr>
        <w:trPr/>
        <w:tc>
          <w:tcPr>
            <w:tcW w:w="8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of Class A ordinary shares, diluted (C)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6,576,986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5,894,078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755" w:name="xdx_404_ecustom--NetIncomeLossPerShareAb"/>
            <w:bookmarkEnd w:id="755"/>
          </w:p>
        </w:tc>
      </w:tr>
      <w:tr>
        <w:trPr/>
        <w:tc>
          <w:tcPr>
            <w:tcW w:w="8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756" w:name="xdx_40C_eus-gaap--EarningsPerShareBasic_"/>
            <w:bookmarkEnd w:id="756"/>
          </w:p>
        </w:tc>
      </w:tr>
      <w:tr>
        <w:trPr/>
        <w:tc>
          <w:tcPr>
            <w:tcW w:w="8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757" w:name="xdx_400_eus-gaap--EarningsPerShareDilute"/>
            <w:bookmarkEnd w:id="757"/>
          </w:p>
        </w:tc>
      </w:tr>
      <w:tr>
        <w:trPr/>
        <w:tc>
          <w:tcPr>
            <w:tcW w:w="8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(A/C)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58" w:name="xdx_80E_eus-gaap--SubsequentEventsTextBl"/>
      <w:bookmarkEnd w:id="758"/>
      <w:r>
        <w:rPr>
          <w:rFonts w:ascii="Times New Roman;Times;Serif" w:hAnsi="Times New Roman;Times;Serif"/>
          <w:b/>
          <w:i w:val="false"/>
          <w:caps w:val="false"/>
          <w:smallCaps w:val="false"/>
          <w:sz w:val="20"/>
        </w:rPr>
        <w:t xml:space="preserve">Note 16 - </w:t>
      </w:r>
      <w:bookmarkStart w:id="759" w:name="xdx_824_zpkoTGe6wAx2"/>
      <w:bookmarkEnd w:id="759"/>
      <w:r>
        <w:rPr>
          <w:rFonts w:ascii="Times New Roman;Times;Serif" w:hAnsi="Times New Roman;Times;Serif"/>
          <w:b/>
          <w:i w:val="false"/>
          <w:caps w:val="false"/>
          <w:smallCaps w:val="false"/>
          <w:sz w:val="20"/>
        </w:rPr>
        <w:t>Subsequent Events</w:t>
      </w:r>
    </w:p>
    <w:p>
      <w:pPr>
        <w:pStyle w:val="TextBody"/>
        <w:bidi w:val="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170"/>
        <w:gridCol w:w="1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Sandia FPA Settlement</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paid Sandia $</w:t>
      </w:r>
      <w:bookmarkStart w:id="760" w:name="xdx_90E_ecustom--PaymentForExchange_iI_p"/>
      <w:bookmarkEnd w:id="760"/>
      <w:r>
        <w:rPr>
          <w:rFonts w:ascii="Times New Roman;Times;Serif" w:hAnsi="Times New Roman;Times;Serif"/>
          <w:b w:val="false"/>
          <w:i w:val="false"/>
          <w:caps w:val="false"/>
          <w:smallCaps w:val="false"/>
          <w:sz w:val="20"/>
        </w:rPr>
        <w:t xml:space="preserve">1,487 in exchange for return of </w:t>
      </w:r>
      <w:bookmarkStart w:id="761" w:name="xdx_907_eus-gaap--SaleOfStockNumberOfSha"/>
      <w:bookmarkEnd w:id="761"/>
      <w:r>
        <w:rPr>
          <w:rFonts w:ascii="Times New Roman;Times;Serif" w:hAnsi="Times New Roman;Times;Serif"/>
          <w:b w:val="false"/>
          <w:i w:val="false"/>
          <w:caps w:val="false"/>
          <w:smallCaps w:val="false"/>
          <w:sz w:val="20"/>
        </w:rPr>
        <w:t>226,509 Class A ordinary shares which satisfied the Company’s outstanding obligations under the Sandia FPA, pursuant to the Letter Agreement, as amended.</w:t>
      </w:r>
    </w:p>
    <w:p>
      <w:pPr>
        <w:pStyle w:val="TextBody"/>
        <w:bidi w:val="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 Settlement</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entered into a Settlement and Release Agreement with Kirkland &amp; Ellis LLP (“Kirkland”) to resolve amounts owed in connection with professional consulting services provided under an engagement letter dated March 8, 2023. Kirkland has an outstanding balance of approximately $</w:t>
      </w:r>
      <w:bookmarkStart w:id="762" w:name="xdx_90B_ecustom--SettlementBalance_iI_pn"/>
      <w:bookmarkEnd w:id="762"/>
      <w:r>
        <w:rPr>
          <w:rFonts w:ascii="Times New Roman;Times;Serif" w:hAnsi="Times New Roman;Times;Serif"/>
          <w:b w:val="false"/>
          <w:i w:val="false"/>
          <w:caps w:val="false"/>
          <w:smallCaps w:val="false"/>
          <w:sz w:val="20"/>
        </w:rPr>
        <w:t>3,316.</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the Company agreed to pay Kirkland a settlement amount of $</w:t>
      </w:r>
      <w:bookmarkStart w:id="763" w:name="xdx_900_ecustom--SettlementAmount_pn3n3_"/>
      <w:bookmarkEnd w:id="763"/>
      <w:r>
        <w:rPr>
          <w:rFonts w:ascii="Times New Roman;Times;Serif" w:hAnsi="Times New Roman;Times;Serif"/>
          <w:b w:val="false"/>
          <w:i w:val="false"/>
          <w:caps w:val="false"/>
          <w:smallCaps w:val="false"/>
          <w:sz w:val="20"/>
        </w:rPr>
        <w:t>900 in full settlement of the outstanding balance and all other amounts payable under the engagement letter. The settlement amount is payable in five installments from August 3, 2026 through December 15, 2026. Upon timely payment of the settlement amount in full, the outstanding balance will be deemed fully and finally satisfied, and Kirkland will have no further claims against the Company relating to the outstanding balance or the engagement letter.</w:t>
      </w:r>
    </w:p>
    <w:p>
      <w:pPr>
        <w:pStyle w:val="TextBody"/>
        <w:bidi w:val="0"/>
        <w:jc w:val="left"/>
        <w:rPr>
          <w:caps w:val="false"/>
          <w:smallCaps w:val="false"/>
        </w:rPr>
      </w:pPr>
      <w:bookmarkStart w:id="764" w:name="xdx_230_zAtSYiiqCvr2"/>
      <w:bookmarkEnd w:id="764"/>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20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4910" w:type="dxa"/>
            <w:tcBorders/>
            <w:vAlign w:val="center"/>
          </w:tcPr>
          <w:p>
            <w:pPr>
              <w:pStyle w:val="TableContents"/>
              <w:bidi w:val="0"/>
              <w:spacing w:before="0" w:after="283"/>
              <w:jc w:val="both"/>
              <w:rPr>
                <w:b/>
              </w:rPr>
            </w:pPr>
            <w:r>
              <w:rPr>
                <w:b/>
              </w:rPr>
              <w:t>Letter Agreement with Sea Otter Trading, LLC</w:t>
            </w:r>
          </w:p>
        </w:tc>
      </w:tr>
    </w:tbl>
    <w:p>
      <w:pPr>
        <w:pStyle w:val="TextBody"/>
        <w:bidi w:val="0"/>
        <w:spacing w:before="0" w:after="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entered into the Sea Otter Letter Agreement to amend the settlement terms of the maturity consideration payable under the existing FPA with Sea Otter. Under the Sea Otter Letter Agreement, the Company agreed to satisfy the outstanding payment obligation through an initial cash payment of $</w:t>
      </w:r>
      <w:bookmarkStart w:id="765" w:name="xdx_900_ecustom--InitialCashPayment_pn3n"/>
      <w:bookmarkEnd w:id="765"/>
      <w:r>
        <w:rPr>
          <w:rFonts w:ascii="Times New Roman;Times;Serif" w:hAnsi="Times New Roman;Times;Serif"/>
          <w:b w:val="false"/>
          <w:i w:val="false"/>
          <w:caps w:val="false"/>
          <w:smallCaps w:val="false"/>
          <w:sz w:val="20"/>
        </w:rPr>
        <w:t>100, followed by monthly principal payments of $</w:t>
      </w:r>
      <w:bookmarkStart w:id="766" w:name="xdx_907_eus-gaap--DebtInstrumentFaceAmou"/>
      <w:bookmarkEnd w:id="766"/>
      <w:r>
        <w:rPr>
          <w:rFonts w:ascii="Times New Roman;Times;Serif" w:hAnsi="Times New Roman;Times;Serif"/>
          <w:b w:val="false"/>
          <w:i w:val="false"/>
          <w:caps w:val="false"/>
          <w:smallCaps w:val="false"/>
          <w:sz w:val="20"/>
        </w:rPr>
        <w:t xml:space="preserve">75 commencing September 15, 2026, with interest accruing at </w:t>
      </w:r>
      <w:bookmarkStart w:id="767" w:name="xdx_90F_eus-gaap--DebtInstrumentInterest"/>
      <w:bookmarkEnd w:id="767"/>
      <w:r>
        <w:rPr>
          <w:rFonts w:ascii="Times New Roman;Times;Serif" w:hAnsi="Times New Roman;Times;Serif"/>
          <w:b w:val="false"/>
          <w:i w:val="false"/>
          <w:caps w:val="false"/>
          <w:smallCaps w:val="false"/>
          <w:sz w:val="20"/>
        </w:rPr>
        <w:t>7.5% per annum on the outstanding balance.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security for the outstanding obligation, the Company agreed to issue </w:t>
      </w:r>
      <w:bookmarkStart w:id="768" w:name="xdx_902_eus-gaap--StockIssuedDuringPerio"/>
      <w:bookmarkEnd w:id="768"/>
      <w:r>
        <w:rPr>
          <w:rFonts w:ascii="Times New Roman;Times;Serif" w:hAnsi="Times New Roman;Times;Serif"/>
          <w:b w:val="false"/>
          <w:i w:val="false"/>
          <w:caps w:val="false"/>
          <w:smallCaps w:val="false"/>
          <w:sz w:val="20"/>
        </w:rPr>
        <w:t>145,183 Class A ordinary shares to Sea Otter as collateral and may be required to issue additional shares if the aggregate market value of the collateral falls below the outstanding payment obligation. Sea Otter may not sell or otherwise dispose of the collateral shares while the Company remains current on its payment obligations; however, any permitted sale of the collateral shares may not occur below a minimum sale price of $8.40 per share (the “Minimum Sales Price”). Proceeds from such sales, up to the Minimum Sales Price, will be applied toward the outstanding payment obligation. Management is evaluating the accounting impact of the Sea Otter Letter Agreement, including its effect on the related liability.</w:t>
      </w:r>
    </w:p>
    <w:p>
      <w:pPr>
        <w:pStyle w:val="TextBody"/>
        <w:bidi w:val="0"/>
        <w:spacing w:before="0" w:after="0"/>
        <w:ind w:left="720" w:right="0" w:hanging="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20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4.</w:t>
            </w:r>
          </w:p>
        </w:tc>
        <w:tc>
          <w:tcPr>
            <w:tcW w:w="5420" w:type="dxa"/>
            <w:tcBorders/>
            <w:vAlign w:val="center"/>
          </w:tcPr>
          <w:p>
            <w:pPr>
              <w:pStyle w:val="TableContents"/>
              <w:bidi w:val="0"/>
              <w:spacing w:before="0" w:after="283"/>
              <w:jc w:val="both"/>
              <w:rPr>
                <w:b/>
              </w:rPr>
            </w:pPr>
            <w:r>
              <w:rPr>
                <w:b/>
              </w:rPr>
              <w:t>Nasdaq minimum bid price compliance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16, 2026, the Company received written notification from The Nasdaq Stock Market LLC confirming that it had regained compliance with the minimum bid price requirement under Nasdaq Listing Rule 5550(a)(2). The Company regained compliance following the effectiveness of its </w:t>
      </w:r>
      <w:bookmarkStart w:id="769" w:name="xdx_906_eus-gaap--StockholdersEquityReve"/>
      <w:bookmarkEnd w:id="769"/>
      <w:r>
        <w:rPr>
          <w:rFonts w:ascii="Times New Roman;Times;Serif" w:hAnsi="Times New Roman;Times;Serif"/>
          <w:b w:val="false"/>
          <w:i w:val="false"/>
          <w:caps w:val="false"/>
          <w:smallCaps w:val="false"/>
          <w:sz w:val="20"/>
        </w:rPr>
        <w:t>1-for-8 reverse stock split on June 12, 2026, and the maintenance of a closing bid price of at least $1.00 per share for the required compliance period.</w:t>
      </w:r>
    </w:p>
    <w:p>
      <w:pPr>
        <w:pStyle w:val="TextBody"/>
        <w:bidi w:val="0"/>
        <w:jc w:val="left"/>
        <w:rPr>
          <w:caps w:val="false"/>
          <w:smallCaps w:val="false"/>
        </w:rPr>
      </w:pPr>
      <w:bookmarkStart w:id="770" w:name="xdx_814_zzF0cGEFHQS5"/>
      <w:bookmarkEnd w:id="770"/>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1" w:name="a_009"/>
      <w:bookmarkEnd w:id="771"/>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together with our condensed consolidated financial statements and the related notes included elsewhere in this Quarterly Report on Form 10-Q. Among other things, the condensed consolidated financial statements include more detailed information regarding the basis of presentation for the financial data than included in the following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historical information, the following discussion contains forward-looking statements, including, but not limited to, statements regarding our expectations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under “Risk Factors” and “Cautionary Note Regarding Forward-Looking Statements,” discussed in this quarterly report and our Annual Report on Form 10-K for the fiscal year ended March 31, 2026. You should consider these factors carefully in evaluating forward-looking statements and are cautioned not to place undue reliance on such statements, which speak only as of the date of this Annual Report on Form 10-K. It is impossible for us to predict new events or circumstances that may arise in the future or how they may affect us. Unless otherwise required by law, we undertake no obligation to update forward looking statements to reflect events or circumstances occurring after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references in this section to “we,” “us,” “our,” “Aeries,” “Aeries Technology,” and “the Company” refer to the business and operations of AARK and its consolidated subsidiaries prior to the Business Combination (excluding the associated legacy financial technology and investing business activities) and to Aeries Technology, Inc. and its consolidated subsidiaries, following the consummation of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is a global professional services and technology consulting firm that provides specialized expertise to private equity (“PE”) firms’ portfolio companies and middle-market, technology-enabled enterprises. We focus on the strategic planning, establishment, and operational management of Global Capability Centers (“GCCs”), which serve as offshore and nearshore operational hubs that extend and enhance our clients’ business capabilities. Our service portfolio combines industry-specific expertise, functional depth, and digital technology solutions to deliver comprehensive support throughout the GCC journey, from strategic planning and center establishment to continuous operational oversight. By integrating AI, process optimization, and strategic talent acquisition in cost-advantaged regions, we can help our clients significantly reduce costs. Drawing on more than a decade of industry experience, we deliver business solutions that improve operational effectiveness, drive innovation, and accelerate strategic growth, creating measurable value for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is specifically engineered to enable clients to realize tangible business benefits—accelerating revenue expansion through enhanced innovation capabilities and superior customer experiences, while simultaneously improving operational efficiency via streamlined cost structures and scalable service delivery models. GCCs developed by Aeries serve as strategic enablement platforms that help clients integrate and use advanced technologies, including AI, advanced analytics, and modern enterprise systems and methodologies. Clients retain comprehensive strategic control and operational governance, and they can adjust GCC ownership frameworks as organizational requirements change. Our integrated service delivery model positions Aeries to drive organizational change, helping enterprises speed up decision-making, improve customer service, and build sustainable 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help our clients expand globally by providing professional advisory and operations management services to establish and manage GCCs in strategically selected, cost-effective geographic locations that align with their operational requirements. Emphasizing digital enterprise transformation, these GCCs are architected to function as integrated extensions of client organizations, delivering access to talent and specialized capabilities. We believe this model helps our clients maintain competitive positioning and organizational agility, achieve sustainable cost optimization, operational excellence, and value-creation objectives, all without compromising functional authority or operational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advisory practice encompasses direct engagement from senior leadership, delivering strategic guidance and industry best practices across operating model architecture and comprehensive organizational consulting. This includes end-to-end support spanning the GCC lifecycle, encompassing initial strategic planning, operating model design, and ongoing delivery framework optimization; talent market analysis; resource availability assessment for specialized roles within the proposed service framework; regulatory compliance management; tax structure optimization; and additional strategic considerations. Clients can tailor service configurations based on our recommendations and options, after which we collaborate to finalize and execute implementation strategies.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core part of our service offering focuses on AI and digital transformation. The Company has developed A1 GCC, a proprietary technology platform engineered to facilitate the planning, execution, and operational management of GCC initiatives. With advanced automation, data analytics, and the integration of artificial intelligence, we can innovate and streamline operations. Our technology services are designed to improve decision-making, automate operational workflows, and deliver measurable business impact. We believe this technology-enabled GCC approach enhances operational effectiveness, enabling us to provide digital transformation services that support our clients’ growth objectives and strengthen their competitive positioning in a rapidly evolving digital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clients leverage our services for comprehensive organizational operations management, encompassing application engineering, information technology systems, data analytics and business intelligence, cybersecurity, finance and accounting, human resources, and customer service operations. We recruit and employ qualified professionals, place them on our payroll, and deploy them strategically across client operations. We work closely with clients to identify the best candidates and integrate with their organizational structures. Our talent professionals serve as operational extensions of client teams, and Aeries retains responsibility for career development, recognition programs, and advancement opportunities, which we believe contribute to stronger employee engagement and lower voluntary turnover. We oversee regulatory compliance, tax administration, talent acquisition, human resources management, and brand alignment for each GCC we establish.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designed to build a more agile, cost-efficient talent deployment framework for client operations and to promote innovation through strategic alignment at the executive level and comprehensive organizational visibility. This model helps clients navigate regulatory and tax complexities while offering operational flexibility to scale teams in response to evolving business demands. We use proven methodologies and success frameworks, drawing on insights from successful engagements across multiple client organizations, to address the fundamental limitations of traditional outsourcing and offshoring approaches.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Transformation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is advancing its strategy to become an AI transformation and enterprise operations company, helping organizations modernize business functions, improve operational performance, and create enterprise value through the practical application of artificial intelligence. The Company is evolving beyond traditional managed operations by combining AI innovation, engineering expertise and operational execution within a unified business model designed to support customers across the enterprise AI lifecycle.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enterprises increasingly seek to move AI initiatives from experimentation into production, Aeries has expanded its capabilities to address this evolving market opportunity. The Company recently launched AxAI, its Agentic AI business, which is focused on helping organizations identify high-value AI opportunities, rapidly prototype solutions, develop production-ready AI applications, and support enterprise-scale deployment. AxAI combines domain consulting, AI engineering and implementation capabilities to help customers integrate AI into business processes, workflows and enterprise systems while remaining technology-agnostic and aligned with customer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Complementing AxAI is AeriesOne, the Company’s AI-native enterprise operations platform, which provides operational visibility, governance, orchestration and workflow management across enterprise operations. AeriesOne is designed to support the deployment and ongoing management of AI-enabled business functions by bringing together operational data, automation and AI-driven insights within a unified operating environment. Together, AxAI and AeriesOne extend Aeries’ ability to support customers from strategy and solution development through deployment, governance and managed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convergence of AI transformation and enterprise operations is creating opportunities for organizations to improve productivity, optimize operating models and accelerate business transformation. As customer requirements continue to evolve, Aeries intends to further develop its AI capabilities, expand its portfolio of AI-enabled solutions and continue integrating AI across its service offerings and operational platforms. The Company expects these initiatives to enhance the breadth of services it can provide, deepen client relationships and support participation in larger enterprise transformation engagements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AI strategy remains focused on practical implementation and measurable business outcomes. By combining consulting, engineering, AI-enabled operations and managed services, the Company seeks to help enterprises move from AI experimentation to production deployment while supporting the long-term operation and continuous optimization of AI-enabled business functions. The Company believes this integrated approach positions Aeries to address the increasing demand for enterprise AI transformation while continuing to build on its established expertise in managed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expects to continue investing in its AI capabilities, platforms and engineering expertise in support of its long-term strategy. Future developments, including the adoption of AI-enabled services, continued enhancement of AxAI and AeriesOne, customer demand for AI transformation initiatives and the Company’s ability to execute its strategic plans, remain subject to market conditions, customer adoption, technological developments and other risks and uncertainties described elsewhere in this Quarterly Report on Form 10-Q.</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Aeries had more than 30 clients spanning across industry segments, including companies in the industries of e-commerce, telecom, security, healthcare, engineering and others.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Listing Compliance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received formal notice from the Listing Qualifications Staff (the “Staff”) of the Nasdaq Stock Exchange (“Nasdaq”) indicating that the Company’s non-compliance with Nasdaq Listing Rule 5550(a)(2) (the “Bid Price Rule”) would result in the delisting of the Company’s securities from Nasdaq unless the Company timely requests a hearing before the Nasdaq Hearings Panel (the “Panel”). The Company did file a timely request for a hearing before the Panel, which request stayed any further action by Nasdaq pending the issuance of a decision by the Panel and the expiration of any extension the Panel may grant to the Company following the hearing. The Company had its hearing before the Panel on May 7, 2026. On June 12, 2026, the Panel notified the Company that it determined to grant its request to continue its listing on Nasdaq subject to the Company demonstrating compliance with the Bid Price Rule on or before June 26,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Company implemented a one for-eight share consolidation (the “Share Consolidation”) of the Company’s Class A ordinary shares. The Share Consolidation was intended to increase the per-share trading price of the Company’s Class A ordinary shares and to assist the Company in maintaining compliance with the minimum bid price requirement for continued listing on the Nasdaq Capital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letter dated July 15, 2026, Nasdaq notified the Company that it had regained compliance with the Bid Price Rule, as required by the Panel’s decision. In application of Nasdaq Listing Rule 5815(d)(4)(B), the Company will be subject to a Mandatory Panel Monitor for a period of one year from July 15, 2026. If, within that one-year monitoring period, Staff finds the Company again out of compliance with the Bid Price Rule that was the subject of the exception, notwithstanding Nasdaq Listing Rule 5810(c)(2), the Company will not be permitted to provide the Staff with a plan of compliance with respect to that deficiency and Staff will not be permitted to grant additional time for the Company to regain compliance with respect to that deficiency, nor will the company be afforded an applicable cure or compliance period pursuant to Nasdaq Listing Rule 5810(c)(3). Instead, Staff will issue a Delist Determination Letter and the Company will have an opportunity to request a new hearing with the initial Panel or a newly convened Hearings Panel if the initial Panel is unavailable. The Company will have the opportunity to respond/present to the Hearings Panel as provided by Nasdaq Listing Rule 5815(d)(4)(C). The Company’s securities may be at that time delisted from Nasdaq.</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Consolidation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our Third Amended and Restated Certificate of Incorporation (the “Certificate of Incorporation”) took effect to implement the Share Consolidation of our issued and outstanding shares of Class A ordinary shares, par value $0.0001 per share, at a ratio of 1-for-8.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became effective at 12:01 a.m., Eastern Time, on June 12, 2026 (the “Effective Time”). The Company’s Class A ordinary shares began trading on a split-adjusted basis on Nasdaq at the commencement of trading on June 12,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Share Consolidation, every eight (8) Class A ordinary shares of the Company issued and outstanding immediately prior to the Effective Time were automatically combined and converted into one (1) Class A ordinary share. The Share Consolidation reduced the number of issued and outstanding Class A ordinary shares from approximately 45,914,789 shares to approximately 5,739,349 shares. The total authorized number of Class A ordinary shares were correspondingly reduced from 500,000,000 with a par value of $0.0001 per share to 62,500,000 with a par value of $0.0008 per share. No fractional shares were issued in connection with the Share Consolidation, and any fractional shares resulting from the Share Consolidation were rounded up to the nearest whole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Non-renewal of Customer Contract and Buyout Notice from Significant Customer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received a non-renewal notice on April 24, 2026, effective June 30, 2026 from a significant customer, expected to result in an annual revenue loss of approximately $5.7 million. The success fee of approximately $2.7 million was received in connection with the conclusion of a client engagement.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Performance and Comparability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Opportunity</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market focus centers on North America, particularly within the private equity ecosystem and mid-market enterprise segments.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looking for vendors who not only have the experience and expertise in providing the right-sized solution in this age of ever shortening business cycles but also serve as a trusted partner with a transparent engagement model to handhold them through their digital transformation journey. Aeries’ model is designed to deliver this experience, expertise and transparent engagement approach to accelerate and enhance our clients’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Markets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private market investing evolves and the landscape of venture-backed and late-stage private growth companies transforms, our service offerings will adapt accordingly, aligning with the shifting dynamics of potential investors and portfolio companies seeking our expertise. While periods of macroeconomic growth in the United States, particularly in private equity markets, typically foster an upsurge in overall investment activity, any economic slowdowns, downturns, or volatility in the broader market and private equity landscape could potentially dampen this growth momentum.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Macro-economic headwinds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operational performance is influenced by prevailing economic conditions, including macroeconomic conditions, the overall inflationary climate, and business sentiment. During the year ended March 31, 2026, there was persistent economic and geopolitical uncertainty in many markets around the world, including concerns over wage inflation, the potential of decelerating global economic growth, and increased volatility in foreign currency exchange rates. These factors have impacted and may continue to impact our business operations.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Retention and Early Termination of Long-Term Contracts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long-term customer relationships is important to our business, as a significant portion of our revenue is derived from these contracts. Although we have auto-renewal service agreements with clients, they may choose to terminate or not renew, in which case they must provide a notice period, typically ranging from 90 to 180 days, and pay a termination fee based on the commercial margin if termination occurs without cause. There is an increasing likelihood that clients may choose to terminate our service agreements after we have established and operated delivery centers for them, as it becomes more feasible and cost-efficient for them to take over. While the above-described contractual provisions provide some financial protection, the termination fee may not fully offset the long-term revenue loss, and replacing clients can be challenging due to the lengthy customer acquisition cycle. To mitigate this risk, we focus on maintaining strong relationships, expanding our customer base, diversifying service offerings, and delivering high-quality service to encourage renewals or alternative service arrangements when terminations occur. Our operational results and financial condition may still be negatively affected if multiple key customers terminate their agreements around the same time, as replacing this revenue can take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and have operations in India, Mexico, Singapore and the United States. Our effective tax rate has historically varied and will continue to vary from year to year based on the tax rate in the jurisdiction of our organization, the geographical sources of our earnings and the tax rates in those countries, the tax relief and incentives available to us, the financing and tax planning strategies employed by us, changes in tax laws or the interpretation thereof, and movements in our tax reserves, if 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is liable to pay income tax in India, Mexico, Singapore, and the United States. In India, the Company has chosen to pay taxes according to the newly introduced tax regime in 2019 while forgoing some exemptions and deductions. Consequently, the Company calculates its consolidated provision for income taxes based on the asset and liability method. This involves determining deferred tax assets and liabilities based on temporary differences between the consolidated financial statements and income tax bases of assets and liabilities. These deferred tax assets and liabilities are measured using the enacted tax rates that are expected to apply to taxable income in the year in which these temporary differences are anticipated to be settled or recovered. If there is evidence that indicates some portion or all of the recorded deferred tax assets will not be realized in future periods, the deferred tax assets are recorded net of a valuation allowance. The Company evaluates uncertain tax positions to determine if they are likely to be sustained upon examination, and a liability is recorded when such uncertainties fail to meet the “more likely than not” threshold.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evaluate our variable and fixed-rate debt obligations. We have historically used short and long-term debt to finance our working capital requirements, capital expenditures and other investments. As of June 30, 2026, the Company had a revolving credit facility with Kotak Mahindra Bank of INR 320 million (or approximately $3,383 at the exchange rate in effect on June 30, 2026). The revolving facility is available for Aeries’ operational requirements The interest rate is equal to the 3-months Repo Rate plus a margin of 3.90% as of June 30, 2026 and March 31, 2026, respectively. Aeries is required to pay interest on the outstanding balance of the credit facility at this financing cost basis, calculated based on the actual number of days for which the funds are utilized. Any changes in the prevailing Repo rate and the interest rate charged by the bank will affect the financing cost basis and the overall cost of borrowing.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also has an outstanding unsecured loan from director of Aeries Technology Group Business Accelerators Pvt Ltd., Mr. Vaibhav Rao, amounting to $0.7 million at an interest rate of 12% per annum. The principal amount of the loan was outstanding in entirety as of and for the period ended June 30, 2026 and 2025, and year ended March 31,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2022, the Company entered into a vehicle loan, secured by the vehicle, for INR 11.5 million (or approximately $0.1 million at the exchange rate in effect on June 30, 2026) at 10.75% from Mercedes-Benz Financial Services India Pvt. Ltd. The Company is required to repay the loan in 48 monthly instalments beginning January 4,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 2024, the Company entered into a vehicle loan, secured by the vehicle, for INR 8.2 million (or approximately $0.1 million at the exchange rate in effect on June 30, 2026) at 10.25% from Mercedes-Benz Financial Services India Pvt. Ltd. The Company is required to repay the loan in 48 monthly instalments beginning September 4,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notes to our condensed consolidated financial statements titled “</w:t>
      </w:r>
      <w:r>
        <w:rPr>
          <w:rFonts w:ascii="Times New Roman;Times;Serif" w:hAnsi="Times New Roman;Times;Serif"/>
          <w:b w:val="false"/>
          <w:i/>
          <w:caps w:val="false"/>
          <w:smallCaps w:val="false"/>
          <w:sz w:val="20"/>
        </w:rPr>
        <w:t>Short-term borrowings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Long-term debt</w:t>
      </w:r>
      <w:r>
        <w:rPr>
          <w:rFonts w:ascii="Times New Roman;Times;Serif" w:hAnsi="Times New Roman;Times;Serif"/>
          <w:b w:val="false"/>
          <w:i w:val="false"/>
          <w:caps w:val="false"/>
          <w:smallCaps w:val="false"/>
          <w:sz w:val="20"/>
        </w:rPr>
        <w:t>” included elsewhere in this Quarterly Report on Form 10-Q for additional information on our indebtedness.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about the risks we face,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operating segment and presents and discusses revenues by customer location. The Company believes this disaggregation best depicts how the nature, amount, timing and uncertainty of our revenues and cash flows are affected by industry, market and other economic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disaggregation of the Company’s revenues by major customer location. Substantially all of the revenue in our North America region relates to business with customers in the United States.</w:t>
      </w:r>
    </w:p>
    <w:p>
      <w:pPr>
        <w:pStyle w:val="TextBody"/>
        <w:bidi w:val="0"/>
        <w:jc w:val="left"/>
        <w:rPr>
          <w:caps w:val="false"/>
          <w:smallCaps w:val="false"/>
        </w:rPr>
      </w:pPr>
      <w:r>
        <w:rPr>
          <w:caps w:val="false"/>
          <w:smallCaps w:val="false"/>
        </w:rPr>
        <w:t> </w:t>
      </w:r>
    </w:p>
    <w:tbl>
      <w:tblPr>
        <w:tblW w:w="3758" w:type="dxa"/>
        <w:jc w:val="left"/>
        <w:tblInd w:w="0" w:type="dxa"/>
        <w:tblLayout w:type="fixed"/>
        <w:tblCellMar>
          <w:top w:w="0" w:type="dxa"/>
          <w:left w:w="0" w:type="dxa"/>
          <w:bottom w:w="0" w:type="dxa"/>
          <w:right w:w="0" w:type="dxa"/>
        </w:tblCellMar>
      </w:tblPr>
      <w:tblGrid>
        <w:gridCol w:w="1835"/>
        <w:gridCol w:w="60"/>
        <w:gridCol w:w="144"/>
        <w:gridCol w:w="681"/>
        <w:gridCol w:w="69"/>
        <w:gridCol w:w="69"/>
        <w:gridCol w:w="144"/>
        <w:gridCol w:w="681"/>
        <w:gridCol w:w="75"/>
      </w:tblGrid>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18,592</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 Pacific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3,326</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21,918</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were primarily earned in U.S. dollars. Our costs were primarily incurred in Indian rupees, U.S. dollars and Mexican pesos. We bear a substantial portion of the risk of inflation and fluctuations in currency exchange rates, and therefore our operating results could be negatively affected by adverse changes in inflation rates and foreign currency exchange rates.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selected financial data for the three months ended June 30, 2026, and 2025 (in thousands, except percentages):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6"/>
        <w:gridCol w:w="60"/>
        <w:gridCol w:w="149"/>
        <w:gridCol w:w="728"/>
        <w:gridCol w:w="278"/>
        <w:gridCol w:w="63"/>
        <w:gridCol w:w="149"/>
        <w:gridCol w:w="728"/>
        <w:gridCol w:w="260"/>
        <w:gridCol w:w="60"/>
        <w:gridCol w:w="147"/>
        <w:gridCol w:w="668"/>
        <w:gridCol w:w="95"/>
        <w:gridCol w:w="60"/>
        <w:gridCol w:w="70"/>
        <w:gridCol w:w="745"/>
        <w:gridCol w:w="329"/>
      </w:tblGrid>
      <w:tr>
        <w:trPr/>
        <w:tc>
          <w:tcPr>
            <w:tcW w:w="561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329" w:type="dxa"/>
            <w:tcBorders/>
            <w:vAlign w:val="center"/>
          </w:tcPr>
          <w:p>
            <w:pPr>
              <w:pStyle w:val="TableContents"/>
              <w:bidi w:val="0"/>
              <w:spacing w:before="0" w:after="283"/>
              <w:ind w:left="0" w:right="0" w:hanging="180"/>
              <w:jc w:val="left"/>
              <w:rPr/>
            </w:pPr>
            <w:r>
              <w:rPr/>
              <w:t> </w:t>
            </w:r>
          </w:p>
        </w:tc>
      </w:tr>
      <w:tr>
        <w:trPr/>
        <w:tc>
          <w:tcPr>
            <w:tcW w:w="56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7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29" w:type="dxa"/>
            <w:tcBorders/>
            <w:vAlign w:val="center"/>
          </w:tcPr>
          <w:p>
            <w:pPr>
              <w:pStyle w:val="TableContents"/>
              <w:bidi w:val="0"/>
              <w:spacing w:before="0" w:after="283"/>
              <w:ind w:left="0" w:right="0" w:hanging="180"/>
              <w:jc w:val="left"/>
              <w:rPr/>
            </w:pPr>
            <w:r>
              <w:rPr/>
              <w:t> </w:t>
            </w:r>
          </w:p>
        </w:tc>
      </w:tr>
      <w:tr>
        <w:trPr/>
        <w:tc>
          <w:tcPr>
            <w:tcW w:w="5616" w:type="dxa"/>
            <w:tcBorders/>
            <w:shd w:fill="CCEEFF" w:val="clear"/>
            <w:vAlign w:val="center"/>
          </w:tcPr>
          <w:p>
            <w:pPr>
              <w:pStyle w:val="TableContents"/>
              <w:bidi w:val="0"/>
              <w:spacing w:before="0" w:after="283"/>
              <w:jc w:val="left"/>
              <w:rPr>
                <w:b/>
              </w:rPr>
            </w:pPr>
            <w:r>
              <w:rPr>
                <w:b/>
              </w:rPr>
              <w:t>Revenues,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b/>
              </w:rPr>
            </w:pPr>
            <w:r>
              <w:rPr>
                <w:b/>
              </w:rPr>
              <w:t>$</w:t>
            </w:r>
          </w:p>
        </w:tc>
        <w:tc>
          <w:tcPr>
            <w:tcW w:w="728" w:type="dxa"/>
            <w:tcBorders/>
            <w:shd w:fill="CCEEFF" w:val="clear"/>
            <w:vAlign w:val="center"/>
          </w:tcPr>
          <w:p>
            <w:pPr>
              <w:pStyle w:val="TableContents"/>
              <w:bidi w:val="0"/>
              <w:spacing w:before="0" w:after="283"/>
              <w:jc w:val="right"/>
              <w:rPr>
                <w:b/>
              </w:rPr>
            </w:pPr>
            <w:r>
              <w:rPr>
                <w:b/>
              </w:rPr>
              <w:t>21,918</w:t>
            </w:r>
          </w:p>
        </w:tc>
        <w:tc>
          <w:tcPr>
            <w:tcW w:w="27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b/>
              </w:rPr>
            </w:pPr>
            <w:r>
              <w:rPr>
                <w:b/>
              </w:rPr>
              <w:t>$</w:t>
            </w:r>
          </w:p>
        </w:tc>
        <w:tc>
          <w:tcPr>
            <w:tcW w:w="728" w:type="dxa"/>
            <w:tcBorders/>
            <w:shd w:fill="CCEEFF" w:val="clear"/>
            <w:vAlign w:val="center"/>
          </w:tcPr>
          <w:p>
            <w:pPr>
              <w:pStyle w:val="TableContents"/>
              <w:bidi w:val="0"/>
              <w:spacing w:before="0" w:after="283"/>
              <w:jc w:val="right"/>
              <w:rPr>
                <w:b/>
              </w:rPr>
            </w:pPr>
            <w:r>
              <w:rPr>
                <w:b/>
              </w:rPr>
              <w:t>15,330</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b/>
              </w:rPr>
            </w:pPr>
            <w:r>
              <w:rPr>
                <w:b/>
              </w:rPr>
              <w:t>$</w:t>
            </w:r>
          </w:p>
        </w:tc>
        <w:tc>
          <w:tcPr>
            <w:tcW w:w="668" w:type="dxa"/>
            <w:tcBorders/>
            <w:shd w:fill="CCEEFF" w:val="clear"/>
            <w:vAlign w:val="center"/>
          </w:tcPr>
          <w:p>
            <w:pPr>
              <w:pStyle w:val="TableContents"/>
              <w:bidi w:val="0"/>
              <w:spacing w:before="0" w:after="283"/>
              <w:jc w:val="right"/>
              <w:rPr>
                <w:b/>
              </w:rPr>
            </w:pPr>
            <w:r>
              <w:rPr>
                <w:b/>
              </w:rPr>
              <w:t>6,588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b/>
              </w:rPr>
            </w:pPr>
            <w:r>
              <w:rPr>
                <w:b/>
              </w:rPr>
              <w:t>43</w:t>
            </w:r>
          </w:p>
        </w:tc>
        <w:tc>
          <w:tcPr>
            <w:tcW w:w="329" w:type="dxa"/>
            <w:tcBorders/>
            <w:shd w:fill="CCEEFF" w:val="clear"/>
            <w:vAlign w:val="center"/>
          </w:tcPr>
          <w:p>
            <w:pPr>
              <w:pStyle w:val="TableContents"/>
              <w:bidi w:val="0"/>
              <w:spacing w:before="0" w:after="283"/>
              <w:ind w:left="0" w:right="0" w:hanging="180"/>
              <w:jc w:val="left"/>
              <w:rPr>
                <w:b/>
              </w:rPr>
            </w:pPr>
            <w:r>
              <w:rPr>
                <w:b/>
              </w:rPr>
              <w:t>%</w:t>
            </w:r>
          </w:p>
        </w:tc>
      </w:tr>
      <w:tr>
        <w:trPr/>
        <w:tc>
          <w:tcPr>
            <w:tcW w:w="5616"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pPr>
            <w:r>
              <w:rPr/>
              <w:t>15,539</w:t>
            </w:r>
          </w:p>
        </w:tc>
        <w:tc>
          <w:tcPr>
            <w:tcW w:w="27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pPr>
            <w:r>
              <w:rPr/>
              <w:t>11,552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(3,987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8" w:space="0" w:color="000000"/>
            </w:tcBorders>
            <w:shd w:fill="FFFFFF" w:val="clear"/>
            <w:tcMar>
              <w:bottom w:w="28" w:type="dxa"/>
            </w:tcMar>
            <w:vAlign w:val="center"/>
          </w:tcPr>
          <w:p>
            <w:pPr>
              <w:pStyle w:val="TableContents"/>
              <w:bidi w:val="0"/>
              <w:spacing w:before="0" w:after="283"/>
              <w:jc w:val="right"/>
              <w:rPr/>
            </w:pPr>
            <w:r>
              <w:rPr/>
              <w:t>(35</w:t>
            </w:r>
          </w:p>
        </w:tc>
        <w:tc>
          <w:tcPr>
            <w:tcW w:w="329" w:type="dxa"/>
            <w:tcBorders/>
            <w:shd w:fill="FFFFFF" w:val="clear"/>
            <w:vAlign w:val="center"/>
          </w:tcPr>
          <w:p>
            <w:pPr>
              <w:pStyle w:val="TableContents"/>
              <w:bidi w:val="0"/>
              <w:spacing w:before="0" w:after="283"/>
              <w:ind w:left="0" w:right="0" w:hanging="180"/>
              <w:jc w:val="left"/>
              <w:rPr/>
            </w:pPr>
            <w:r>
              <w:rPr/>
              <w:t>)%</w:t>
            </w:r>
          </w:p>
        </w:tc>
      </w:tr>
      <w:tr>
        <w:trPr/>
        <w:tc>
          <w:tcPr>
            <w:tcW w:w="5616"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b/>
              </w:rPr>
            </w:pPr>
            <w:r>
              <w:rPr>
                <w:b/>
              </w:rPr>
              <w:t>$</w:t>
            </w:r>
          </w:p>
        </w:tc>
        <w:tc>
          <w:tcPr>
            <w:tcW w:w="728" w:type="dxa"/>
            <w:tcBorders/>
            <w:shd w:fill="CCEEFF" w:val="clear"/>
            <w:vAlign w:val="center"/>
          </w:tcPr>
          <w:p>
            <w:pPr>
              <w:pStyle w:val="TableContents"/>
              <w:bidi w:val="0"/>
              <w:spacing w:before="0" w:after="283"/>
              <w:jc w:val="right"/>
              <w:rPr>
                <w:b/>
              </w:rPr>
            </w:pPr>
            <w:r>
              <w:rPr>
                <w:b/>
              </w:rPr>
              <w:t>6,379</w:t>
            </w:r>
          </w:p>
        </w:tc>
        <w:tc>
          <w:tcPr>
            <w:tcW w:w="27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b/>
              </w:rPr>
            </w:pPr>
            <w:r>
              <w:rPr>
                <w:b/>
              </w:rPr>
              <w:t>$</w:t>
            </w:r>
          </w:p>
        </w:tc>
        <w:tc>
          <w:tcPr>
            <w:tcW w:w="728" w:type="dxa"/>
            <w:tcBorders/>
            <w:shd w:fill="CCEEFF" w:val="clear"/>
            <w:vAlign w:val="center"/>
          </w:tcPr>
          <w:p>
            <w:pPr>
              <w:pStyle w:val="TableContents"/>
              <w:bidi w:val="0"/>
              <w:spacing w:before="0" w:after="283"/>
              <w:jc w:val="right"/>
              <w:rPr>
                <w:b/>
              </w:rPr>
            </w:pPr>
            <w:r>
              <w:rPr>
                <w:b/>
              </w:rPr>
              <w:t>3,778</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b/>
              </w:rPr>
            </w:pPr>
            <w:r>
              <w:rPr>
                <w:b/>
              </w:rPr>
              <w:t>$</w:t>
            </w:r>
          </w:p>
        </w:tc>
        <w:tc>
          <w:tcPr>
            <w:tcW w:w="668" w:type="dxa"/>
            <w:tcBorders/>
            <w:shd w:fill="CCEEFF" w:val="clear"/>
            <w:vAlign w:val="center"/>
          </w:tcPr>
          <w:p>
            <w:pPr>
              <w:pStyle w:val="TableContents"/>
              <w:bidi w:val="0"/>
              <w:spacing w:before="0" w:after="283"/>
              <w:jc w:val="right"/>
              <w:rPr>
                <w:b/>
              </w:rPr>
            </w:pPr>
            <w:r>
              <w:rPr>
                <w:b/>
              </w:rPr>
              <w:t>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b/>
              </w:rPr>
            </w:pPr>
            <w:r>
              <w:rPr>
                <w:b/>
              </w:rPr>
              <w:t>69</w:t>
            </w:r>
          </w:p>
        </w:tc>
        <w:tc>
          <w:tcPr>
            <w:tcW w:w="329" w:type="dxa"/>
            <w:tcBorders/>
            <w:shd w:fill="CCEEFF" w:val="clear"/>
            <w:vAlign w:val="center"/>
          </w:tcPr>
          <w:p>
            <w:pPr>
              <w:pStyle w:val="TableContents"/>
              <w:bidi w:val="0"/>
              <w:spacing w:before="0" w:after="283"/>
              <w:ind w:left="0" w:right="0" w:hanging="180"/>
              <w:jc w:val="left"/>
              <w:rPr>
                <w:b/>
              </w:rPr>
            </w:pPr>
            <w:r>
              <w:rPr>
                <w:b/>
              </w:rPr>
              <w:t>%</w:t>
            </w:r>
          </w:p>
        </w:tc>
      </w:tr>
      <w:tr>
        <w:trPr/>
        <w:tc>
          <w:tcPr>
            <w:tcW w:w="5616" w:type="dxa"/>
            <w:tcBorders/>
            <w:shd w:fill="FFFFFF" w:val="clear"/>
            <w:vAlign w:val="center"/>
          </w:tcPr>
          <w:p>
            <w:pPr>
              <w:pStyle w:val="TableContents"/>
              <w:bidi w:val="0"/>
              <w:spacing w:before="0" w:after="283"/>
              <w:jc w:val="left"/>
              <w:rPr>
                <w:b/>
              </w:rPr>
            </w:pPr>
            <w:r>
              <w:rPr>
                <w:b/>
              </w:rPr>
              <w:t>Gross Profit Margin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b/>
              </w:rPr>
            </w:pPr>
            <w:r>
              <w:rPr>
                <w:b/>
              </w:rPr>
              <w:t>29.1</w:t>
            </w:r>
          </w:p>
        </w:tc>
        <w:tc>
          <w:tcPr>
            <w:tcW w:w="278"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b/>
              </w:rPr>
            </w:pPr>
            <w:r>
              <w:rPr>
                <w:b/>
              </w:rPr>
              <w:t>24.6</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 </w:t>
            </w:r>
          </w:p>
        </w:tc>
        <w:tc>
          <w:tcPr>
            <w:tcW w:w="329" w:type="dxa"/>
            <w:tcBorders/>
            <w:shd w:fill="FFFFFF" w:val="clear"/>
            <w:vAlign w:val="center"/>
          </w:tcPr>
          <w:p>
            <w:pPr>
              <w:pStyle w:val="TableContents"/>
              <w:bidi w:val="0"/>
              <w:spacing w:before="0" w:after="283"/>
              <w:ind w:left="0" w:right="0" w:hanging="180"/>
              <w:jc w:val="left"/>
              <w:rPr/>
            </w:pPr>
            <w:r>
              <w:rPr/>
              <w:t> </w:t>
            </w:r>
          </w:p>
        </w:tc>
      </w:tr>
      <w:tr>
        <w:trPr/>
        <w:tc>
          <w:tcPr>
            <w:tcW w:w="56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329" w:type="dxa"/>
            <w:tcBorders/>
            <w:shd w:fill="CCEEFF" w:val="clear"/>
            <w:vAlign w:val="center"/>
          </w:tcPr>
          <w:p>
            <w:pPr>
              <w:pStyle w:val="TableContents"/>
              <w:bidi w:val="0"/>
              <w:spacing w:before="0" w:after="283"/>
              <w:ind w:left="0" w:right="0" w:hanging="180"/>
              <w:jc w:val="left"/>
              <w:rPr/>
            </w:pPr>
            <w:r>
              <w:rPr/>
              <w:t> </w:t>
            </w:r>
          </w:p>
        </w:tc>
      </w:tr>
      <w:tr>
        <w:trPr/>
        <w:tc>
          <w:tcPr>
            <w:tcW w:w="5616"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 </w:t>
            </w:r>
          </w:p>
        </w:tc>
        <w:tc>
          <w:tcPr>
            <w:tcW w:w="329" w:type="dxa"/>
            <w:tcBorders/>
            <w:shd w:fill="FFFFFF" w:val="clear"/>
            <w:vAlign w:val="center"/>
          </w:tcPr>
          <w:p>
            <w:pPr>
              <w:pStyle w:val="TableContents"/>
              <w:bidi w:val="0"/>
              <w:spacing w:before="0" w:after="283"/>
              <w:ind w:left="0" w:right="0" w:hanging="180"/>
              <w:jc w:val="left"/>
              <w:rPr/>
            </w:pPr>
            <w:r>
              <w:rPr/>
              <w:t> </w:t>
            </w:r>
          </w:p>
        </w:tc>
      </w:tr>
      <w:tr>
        <w:trPr/>
        <w:tc>
          <w:tcPr>
            <w:tcW w:w="5616" w:type="dxa"/>
            <w:tcBorders/>
            <w:shd w:fill="CCEEFF" w:val="clear"/>
            <w:vAlign w:val="center"/>
          </w:tcPr>
          <w:p>
            <w:pPr>
              <w:pStyle w:val="TableContents"/>
              <w:bidi w:val="0"/>
              <w:spacing w:before="0" w:after="283"/>
              <w:jc w:val="left"/>
              <w:rPr/>
            </w:pPr>
            <w:r>
              <w:rPr/>
              <w:t>Selling, general &amp; administrative expenses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27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pPr>
            <w:r>
              <w:rPr/>
              <w:t>2,958</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329" w:type="dxa"/>
            <w:tcBorders/>
            <w:shd w:fill="CCEEFF" w:val="clear"/>
            <w:vAlign w:val="center"/>
          </w:tcPr>
          <w:p>
            <w:pPr>
              <w:pStyle w:val="TableContents"/>
              <w:bidi w:val="0"/>
              <w:spacing w:before="0" w:after="283"/>
              <w:ind w:left="0" w:right="0" w:hanging="180"/>
              <w:jc w:val="left"/>
              <w:rPr/>
            </w:pPr>
            <w:r>
              <w:rPr/>
              <w:t>)%</w:t>
            </w:r>
          </w:p>
        </w:tc>
      </w:tr>
      <w:tr>
        <w:trPr/>
        <w:tc>
          <w:tcPr>
            <w:tcW w:w="5616"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3,019</w:t>
            </w:r>
          </w:p>
        </w:tc>
        <w:tc>
          <w:tcPr>
            <w:tcW w:w="27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2,958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w:t>
            </w:r>
          </w:p>
        </w:tc>
        <w:tc>
          <w:tcPr>
            <w:tcW w:w="329" w:type="dxa"/>
            <w:tcBorders/>
            <w:shd w:fill="FFFFFF" w:val="clear"/>
            <w:vAlign w:val="center"/>
          </w:tcPr>
          <w:p>
            <w:pPr>
              <w:pStyle w:val="TableContents"/>
              <w:bidi w:val="0"/>
              <w:spacing w:before="0" w:after="283"/>
              <w:ind w:left="0" w:right="0" w:hanging="180"/>
              <w:jc w:val="left"/>
              <w:rPr>
                <w:b/>
              </w:rPr>
            </w:pPr>
            <w:r>
              <w:rPr>
                <w:b/>
              </w:rPr>
              <w:t>)%</w:t>
            </w:r>
          </w:p>
        </w:tc>
      </w:tr>
      <w:tr>
        <w:trPr/>
        <w:tc>
          <w:tcPr>
            <w:tcW w:w="5616" w:type="dxa"/>
            <w:tcBorders/>
            <w:shd w:fill="CCEEFF" w:val="clear"/>
            <w:vAlign w:val="center"/>
          </w:tcPr>
          <w:p>
            <w:pPr>
              <w:pStyle w:val="TableContents"/>
              <w:bidi w:val="0"/>
              <w:spacing w:before="0" w:after="283"/>
              <w:jc w:val="left"/>
              <w:rPr>
                <w:b/>
              </w:rPr>
            </w:pPr>
            <w:r>
              <w:rPr>
                <w:b/>
              </w:rPr>
              <w:t>Income / (loss) from operations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b/>
              </w:rPr>
            </w:pPr>
            <w:r>
              <w:rPr>
                <w:b/>
              </w:rPr>
              <w:t>$</w:t>
            </w:r>
          </w:p>
        </w:tc>
        <w:tc>
          <w:tcPr>
            <w:tcW w:w="728" w:type="dxa"/>
            <w:tcBorders/>
            <w:shd w:fill="CCEEFF" w:val="clear"/>
            <w:vAlign w:val="center"/>
          </w:tcPr>
          <w:p>
            <w:pPr>
              <w:pStyle w:val="TableContents"/>
              <w:bidi w:val="0"/>
              <w:spacing w:before="0" w:after="283"/>
              <w:jc w:val="right"/>
              <w:rPr>
                <w:b/>
              </w:rPr>
            </w:pPr>
            <w:r>
              <w:rPr>
                <w:b/>
              </w:rPr>
              <w:t>3,360</w:t>
            </w:r>
          </w:p>
        </w:tc>
        <w:tc>
          <w:tcPr>
            <w:tcW w:w="27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b/>
              </w:rPr>
            </w:pPr>
            <w:r>
              <w:rPr>
                <w:b/>
              </w:rPr>
              <w:t>$</w:t>
            </w:r>
          </w:p>
        </w:tc>
        <w:tc>
          <w:tcPr>
            <w:tcW w:w="728" w:type="dxa"/>
            <w:tcBorders/>
            <w:shd w:fill="CCEEFF" w:val="clear"/>
            <w:vAlign w:val="center"/>
          </w:tcPr>
          <w:p>
            <w:pPr>
              <w:pStyle w:val="TableContents"/>
              <w:bidi w:val="0"/>
              <w:spacing w:before="0" w:after="283"/>
              <w:jc w:val="right"/>
              <w:rPr>
                <w:b/>
              </w:rPr>
            </w:pPr>
            <w:r>
              <w:rPr>
                <w:b/>
              </w:rPr>
              <w:t>820</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b/>
              </w:rPr>
            </w:pPr>
            <w:r>
              <w:rPr>
                <w:b/>
              </w:rPr>
              <w:t>$</w:t>
            </w:r>
          </w:p>
        </w:tc>
        <w:tc>
          <w:tcPr>
            <w:tcW w:w="668" w:type="dxa"/>
            <w:tcBorders/>
            <w:shd w:fill="CCEEFF" w:val="clear"/>
            <w:vAlign w:val="center"/>
          </w:tcPr>
          <w:p>
            <w:pPr>
              <w:pStyle w:val="TableContents"/>
              <w:bidi w:val="0"/>
              <w:spacing w:before="0" w:after="283"/>
              <w:jc w:val="right"/>
              <w:rPr>
                <w:b/>
              </w:rPr>
            </w:pPr>
            <w:r>
              <w:rPr>
                <w:b/>
              </w:rPr>
              <w:t>2,540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b/>
              </w:rPr>
            </w:pPr>
            <w:r>
              <w:rPr>
                <w:b/>
              </w:rPr>
              <w:t>310</w:t>
            </w:r>
          </w:p>
        </w:tc>
        <w:tc>
          <w:tcPr>
            <w:tcW w:w="329" w:type="dxa"/>
            <w:tcBorders/>
            <w:shd w:fill="CCEEFF" w:val="clear"/>
            <w:vAlign w:val="center"/>
          </w:tcPr>
          <w:p>
            <w:pPr>
              <w:pStyle w:val="TableContents"/>
              <w:bidi w:val="0"/>
              <w:spacing w:before="0" w:after="283"/>
              <w:ind w:left="0" w:right="0" w:hanging="180"/>
              <w:jc w:val="left"/>
              <w:rPr>
                <w:b/>
              </w:rPr>
            </w:pPr>
            <w:r>
              <w:rPr>
                <w:b/>
              </w:rPr>
              <w:t>%</w:t>
            </w:r>
          </w:p>
        </w:tc>
      </w:tr>
      <w:tr>
        <w:trPr/>
        <w:tc>
          <w:tcPr>
            <w:tcW w:w="5616" w:type="dxa"/>
            <w:tcBorders/>
            <w:shd w:fill="FFFFFF" w:val="clear"/>
            <w:vAlign w:val="center"/>
          </w:tcPr>
          <w:p>
            <w:pPr>
              <w:pStyle w:val="TableContents"/>
              <w:bidi w:val="0"/>
              <w:spacing w:before="0" w:after="283"/>
              <w:jc w:val="left"/>
              <w:rPr>
                <w:b/>
              </w:rPr>
            </w:pPr>
            <w:r>
              <w:rPr>
                <w:b/>
              </w:rPr>
              <w:t>Other income / (expense)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 </w:t>
            </w:r>
          </w:p>
        </w:tc>
        <w:tc>
          <w:tcPr>
            <w:tcW w:w="329" w:type="dxa"/>
            <w:tcBorders/>
            <w:shd w:fill="FFFFFF" w:val="clear"/>
            <w:vAlign w:val="center"/>
          </w:tcPr>
          <w:p>
            <w:pPr>
              <w:pStyle w:val="TableContents"/>
              <w:bidi w:val="0"/>
              <w:spacing w:before="0" w:after="283"/>
              <w:ind w:left="0" w:right="0" w:hanging="180"/>
              <w:jc w:val="left"/>
              <w:rPr/>
            </w:pPr>
            <w:r>
              <w:rPr/>
              <w:t> </w:t>
            </w:r>
          </w:p>
        </w:tc>
      </w:tr>
      <w:tr>
        <w:trPr/>
        <w:tc>
          <w:tcPr>
            <w:tcW w:w="5616"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w:t>
            </w:r>
          </w:p>
        </w:tc>
        <w:tc>
          <w:tcPr>
            <w:tcW w:w="27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23</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(100</w:t>
            </w:r>
          </w:p>
        </w:tc>
        <w:tc>
          <w:tcPr>
            <w:tcW w:w="329" w:type="dxa"/>
            <w:tcBorders/>
            <w:shd w:fill="CCEEFF" w:val="clear"/>
            <w:vAlign w:val="center"/>
          </w:tcPr>
          <w:p>
            <w:pPr>
              <w:pStyle w:val="TableContents"/>
              <w:bidi w:val="0"/>
              <w:spacing w:before="0" w:after="283"/>
              <w:ind w:left="0" w:right="0" w:hanging="180"/>
              <w:jc w:val="left"/>
              <w:rPr/>
            </w:pPr>
            <w:r>
              <w:rPr/>
              <w:t>)%</w:t>
            </w:r>
          </w:p>
        </w:tc>
      </w:tr>
      <w:tr>
        <w:trPr/>
        <w:tc>
          <w:tcPr>
            <w:tcW w:w="5616" w:type="dxa"/>
            <w:tcBorders/>
            <w:shd w:fill="FFFFFF" w:val="clear"/>
            <w:vAlign w:val="center"/>
          </w:tcPr>
          <w:p>
            <w:pPr>
              <w:pStyle w:val="TableContents"/>
              <w:bidi w:val="0"/>
              <w:spacing w:before="0" w:after="283"/>
              <w:jc w:val="left"/>
              <w:rPr/>
            </w:pPr>
            <w:r>
              <w:rPr/>
              <w:t>Change in fair value of FPA</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(7</w:t>
            </w:r>
          </w:p>
        </w:tc>
        <w:tc>
          <w:tcPr>
            <w:tcW w:w="278"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1,255</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(1,262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(101</w:t>
            </w:r>
          </w:p>
        </w:tc>
        <w:tc>
          <w:tcPr>
            <w:tcW w:w="329" w:type="dxa"/>
            <w:tcBorders/>
            <w:shd w:fill="FFFFFF" w:val="clear"/>
            <w:vAlign w:val="center"/>
          </w:tcPr>
          <w:p>
            <w:pPr>
              <w:pStyle w:val="TableContents"/>
              <w:bidi w:val="0"/>
              <w:spacing w:before="0" w:after="283"/>
              <w:ind w:left="0" w:right="0" w:hanging="180"/>
              <w:jc w:val="left"/>
              <w:rPr/>
            </w:pPr>
            <w:r>
              <w:rPr/>
              <w:t>)%</w:t>
            </w:r>
          </w:p>
        </w:tc>
      </w:tr>
      <w:tr>
        <w:trPr/>
        <w:tc>
          <w:tcPr>
            <w:tcW w:w="5616"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78</w:t>
            </w:r>
          </w:p>
        </w:tc>
        <w:tc>
          <w:tcPr>
            <w:tcW w:w="27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72</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8</w:t>
            </w:r>
          </w:p>
        </w:tc>
        <w:tc>
          <w:tcPr>
            <w:tcW w:w="329" w:type="dxa"/>
            <w:tcBorders/>
            <w:shd w:fill="CCEEFF" w:val="clear"/>
            <w:vAlign w:val="center"/>
          </w:tcPr>
          <w:p>
            <w:pPr>
              <w:pStyle w:val="TableContents"/>
              <w:bidi w:val="0"/>
              <w:spacing w:before="0" w:after="283"/>
              <w:ind w:left="0" w:right="0" w:hanging="180"/>
              <w:jc w:val="left"/>
              <w:rPr/>
            </w:pPr>
            <w:r>
              <w:rPr/>
              <w:t>%</w:t>
            </w:r>
          </w:p>
        </w:tc>
      </w:tr>
      <w:tr>
        <w:trPr/>
        <w:tc>
          <w:tcPr>
            <w:tcW w:w="5616"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(116</w:t>
            </w:r>
          </w:p>
        </w:tc>
        <w:tc>
          <w:tcPr>
            <w:tcW w:w="278"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(170</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32</w:t>
            </w:r>
          </w:p>
        </w:tc>
        <w:tc>
          <w:tcPr>
            <w:tcW w:w="329" w:type="dxa"/>
            <w:tcBorders/>
            <w:shd w:fill="FFFFFF" w:val="clear"/>
            <w:vAlign w:val="center"/>
          </w:tcPr>
          <w:p>
            <w:pPr>
              <w:pStyle w:val="TableContents"/>
              <w:bidi w:val="0"/>
              <w:spacing w:before="0" w:after="283"/>
              <w:ind w:left="0" w:right="0" w:hanging="180"/>
              <w:jc w:val="left"/>
              <w:rPr/>
            </w:pPr>
            <w:r>
              <w:rPr/>
              <w:t>%</w:t>
            </w:r>
          </w:p>
        </w:tc>
      </w:tr>
      <w:tr>
        <w:trPr/>
        <w:tc>
          <w:tcPr>
            <w:tcW w:w="5616"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pPr>
            <w:r>
              <w:rPr/>
              <w:t>(223</w:t>
            </w:r>
          </w:p>
        </w:tc>
        <w:tc>
          <w:tcPr>
            <w:tcW w:w="278"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single" w:sz="8" w:space="0" w:color="000000"/>
            </w:tcBorders>
            <w:shd w:fill="CCEEFF" w:val="clear"/>
            <w:tcMar>
              <w:bottom w:w="28" w:type="dxa"/>
            </w:tcMar>
            <w:vAlign w:val="center"/>
          </w:tcPr>
          <w:p>
            <w:pPr>
              <w:pStyle w:val="TableContents"/>
              <w:bidi w:val="0"/>
              <w:spacing w:before="0" w:after="283"/>
              <w:jc w:val="right"/>
              <w:rPr/>
            </w:pPr>
            <w:r>
              <w:rPr/>
              <w:t>(3,286</w:t>
            </w:r>
          </w:p>
        </w:tc>
        <w:tc>
          <w:tcPr>
            <w:tcW w:w="329" w:type="dxa"/>
            <w:tcBorders/>
            <w:shd w:fill="CCEEFF" w:val="clear"/>
            <w:vAlign w:val="center"/>
          </w:tcPr>
          <w:p>
            <w:pPr>
              <w:pStyle w:val="TableContents"/>
              <w:bidi w:val="0"/>
              <w:spacing w:before="0" w:after="283"/>
              <w:ind w:left="0" w:right="0" w:hanging="180"/>
              <w:jc w:val="left"/>
              <w:rPr/>
            </w:pPr>
            <w:r>
              <w:rPr/>
              <w:t>)%</w:t>
            </w:r>
          </w:p>
        </w:tc>
      </w:tr>
      <w:tr>
        <w:trPr/>
        <w:tc>
          <w:tcPr>
            <w:tcW w:w="5616" w:type="dxa"/>
            <w:tcBorders/>
            <w:shd w:fill="FFFFFF" w:val="clear"/>
            <w:vAlign w:val="center"/>
          </w:tcPr>
          <w:p>
            <w:pPr>
              <w:pStyle w:val="TableContents"/>
              <w:bidi w:val="0"/>
              <w:spacing w:before="0" w:after="283"/>
              <w:jc w:val="left"/>
              <w:rPr>
                <w:b/>
              </w:rPr>
            </w:pPr>
            <w:r>
              <w:rPr>
                <w:b/>
              </w:rPr>
              <w:t>Total other income / (expense), net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(268</w:t>
            </w:r>
          </w:p>
        </w:tc>
        <w:tc>
          <w:tcPr>
            <w:tcW w:w="278"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1,187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(1,455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(123</w:t>
            </w:r>
          </w:p>
        </w:tc>
        <w:tc>
          <w:tcPr>
            <w:tcW w:w="329" w:type="dxa"/>
            <w:tcBorders/>
            <w:shd w:fill="FFFFFF" w:val="clear"/>
            <w:vAlign w:val="center"/>
          </w:tcPr>
          <w:p>
            <w:pPr>
              <w:pStyle w:val="TableContents"/>
              <w:bidi w:val="0"/>
              <w:spacing w:before="0" w:after="283"/>
              <w:ind w:left="0" w:right="0" w:hanging="180"/>
              <w:jc w:val="left"/>
              <w:rPr>
                <w:b/>
              </w:rPr>
            </w:pPr>
            <w:r>
              <w:rPr>
                <w:b/>
              </w:rPr>
              <w:t>)%</w:t>
            </w:r>
          </w:p>
        </w:tc>
      </w:tr>
      <w:tr>
        <w:trPr/>
        <w:tc>
          <w:tcPr>
            <w:tcW w:w="5616" w:type="dxa"/>
            <w:tcBorders/>
            <w:shd w:fill="CCEEFF" w:val="clear"/>
            <w:vAlign w:val="center"/>
          </w:tcPr>
          <w:p>
            <w:pPr>
              <w:pStyle w:val="TableContents"/>
              <w:bidi w:val="0"/>
              <w:spacing w:before="0" w:after="283"/>
              <w:jc w:val="left"/>
              <w:rPr>
                <w:b/>
              </w:rPr>
            </w:pPr>
            <w:r>
              <w:rPr>
                <w:b/>
              </w:rPr>
              <w:t>Income / (loss) before income taxes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b/>
              </w:rPr>
            </w:pPr>
            <w:r>
              <w:rPr>
                <w:b/>
              </w:rPr>
              <w:t>3,092</w:t>
            </w:r>
          </w:p>
        </w:tc>
        <w:tc>
          <w:tcPr>
            <w:tcW w:w="27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b/>
              </w:rPr>
            </w:pPr>
            <w:r>
              <w:rPr>
                <w:b/>
              </w:rPr>
              <w:t>2,007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b/>
              </w:rPr>
            </w:pPr>
            <w:r>
              <w:rPr>
                <w:b/>
              </w:rPr>
              <w:t>1,085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b/>
              </w:rPr>
            </w:pPr>
            <w:r>
              <w:rPr>
                <w:b/>
              </w:rPr>
              <w:t>54</w:t>
            </w:r>
          </w:p>
        </w:tc>
        <w:tc>
          <w:tcPr>
            <w:tcW w:w="329" w:type="dxa"/>
            <w:tcBorders/>
            <w:shd w:fill="CCEEFF" w:val="clear"/>
            <w:vAlign w:val="center"/>
          </w:tcPr>
          <w:p>
            <w:pPr>
              <w:pStyle w:val="TableContents"/>
              <w:bidi w:val="0"/>
              <w:spacing w:before="0" w:after="283"/>
              <w:ind w:left="0" w:right="0" w:hanging="180"/>
              <w:jc w:val="left"/>
              <w:rPr>
                <w:b/>
              </w:rPr>
            </w:pPr>
            <w:r>
              <w:rPr>
                <w:b/>
              </w:rPr>
              <w:t>%</w:t>
            </w:r>
          </w:p>
        </w:tc>
      </w:tr>
      <w:tr>
        <w:trPr/>
        <w:tc>
          <w:tcPr>
            <w:tcW w:w="5616" w:type="dxa"/>
            <w:tcBorders/>
            <w:shd w:fill="FFFFFF" w:val="clear"/>
            <w:vAlign w:val="center"/>
          </w:tcPr>
          <w:p>
            <w:pPr>
              <w:pStyle w:val="TableContents"/>
              <w:bidi w:val="0"/>
              <w:spacing w:before="0" w:after="283"/>
              <w:jc w:val="left"/>
              <w:rPr/>
            </w:pPr>
            <w:r>
              <w:rPr/>
              <w:t>Income tax (expenses) / benefit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pPr>
            <w:r>
              <w:rPr/>
              <w:t>(878</w:t>
            </w:r>
          </w:p>
        </w:tc>
        <w:tc>
          <w:tcPr>
            <w:tcW w:w="278"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pPr>
            <w:r>
              <w:rPr/>
              <w:t>(331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(547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8" w:space="0" w:color="000000"/>
            </w:tcBorders>
            <w:shd w:fill="FFFFFF" w:val="clear"/>
            <w:tcMar>
              <w:bottom w:w="28" w:type="dxa"/>
            </w:tcMar>
            <w:vAlign w:val="center"/>
          </w:tcPr>
          <w:p>
            <w:pPr>
              <w:pStyle w:val="TableContents"/>
              <w:bidi w:val="0"/>
              <w:spacing w:before="0" w:after="283"/>
              <w:jc w:val="right"/>
              <w:rPr/>
            </w:pPr>
            <w:r>
              <w:rPr/>
              <w:t>(165</w:t>
            </w:r>
          </w:p>
        </w:tc>
        <w:tc>
          <w:tcPr>
            <w:tcW w:w="329" w:type="dxa"/>
            <w:tcBorders/>
            <w:shd w:fill="FFFFFF" w:val="clear"/>
            <w:vAlign w:val="center"/>
          </w:tcPr>
          <w:p>
            <w:pPr>
              <w:pStyle w:val="TableContents"/>
              <w:bidi w:val="0"/>
              <w:spacing w:before="0" w:after="283"/>
              <w:ind w:left="0" w:right="0" w:hanging="180"/>
              <w:jc w:val="left"/>
              <w:rPr/>
            </w:pPr>
            <w:r>
              <w:rPr/>
              <w:t>)%</w:t>
            </w:r>
          </w:p>
        </w:tc>
      </w:tr>
      <w:tr>
        <w:trPr/>
        <w:tc>
          <w:tcPr>
            <w:tcW w:w="5616" w:type="dxa"/>
            <w:tcBorders/>
            <w:shd w:fill="CCEEFF" w:val="clear"/>
            <w:vAlign w:val="center"/>
          </w:tcPr>
          <w:p>
            <w:pPr>
              <w:pStyle w:val="TableContents"/>
              <w:bidi w:val="0"/>
              <w:spacing w:before="0" w:after="283"/>
              <w:jc w:val="left"/>
              <w:rPr>
                <w:b/>
              </w:rPr>
            </w:pPr>
            <w:r>
              <w:rPr>
                <w:b/>
              </w:rPr>
              <w:t>Net income /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b/>
              </w:rPr>
            </w:pPr>
            <w:r>
              <w:rPr>
                <w:b/>
              </w:rPr>
              <w:t>$</w:t>
            </w:r>
          </w:p>
        </w:tc>
        <w:tc>
          <w:tcPr>
            <w:tcW w:w="728" w:type="dxa"/>
            <w:tcBorders/>
            <w:shd w:fill="CCEEFF" w:val="clear"/>
            <w:vAlign w:val="center"/>
          </w:tcPr>
          <w:p>
            <w:pPr>
              <w:pStyle w:val="TableContents"/>
              <w:bidi w:val="0"/>
              <w:spacing w:before="0" w:after="283"/>
              <w:jc w:val="right"/>
              <w:rPr>
                <w:b/>
              </w:rPr>
            </w:pPr>
            <w:r>
              <w:rPr>
                <w:b/>
              </w:rPr>
              <w:t>2,214</w:t>
            </w:r>
          </w:p>
        </w:tc>
        <w:tc>
          <w:tcPr>
            <w:tcW w:w="27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b/>
              </w:rPr>
            </w:pPr>
            <w:r>
              <w:rPr>
                <w:b/>
              </w:rPr>
              <w:t>$</w:t>
            </w:r>
          </w:p>
        </w:tc>
        <w:tc>
          <w:tcPr>
            <w:tcW w:w="728" w:type="dxa"/>
            <w:tcBorders/>
            <w:shd w:fill="CCEEFF" w:val="clear"/>
            <w:vAlign w:val="center"/>
          </w:tcPr>
          <w:p>
            <w:pPr>
              <w:pStyle w:val="TableContents"/>
              <w:bidi w:val="0"/>
              <w:spacing w:before="0" w:after="283"/>
              <w:jc w:val="right"/>
              <w:rPr>
                <w:b/>
              </w:rPr>
            </w:pPr>
            <w:r>
              <w:rPr>
                <w:b/>
              </w:rPr>
              <w:t>1,676</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b/>
              </w:rPr>
            </w:pPr>
            <w:r>
              <w:rPr>
                <w:b/>
              </w:rPr>
              <w:t>$</w:t>
            </w:r>
          </w:p>
        </w:tc>
        <w:tc>
          <w:tcPr>
            <w:tcW w:w="668" w:type="dxa"/>
            <w:tcBorders/>
            <w:shd w:fill="CCEEFF" w:val="clear"/>
            <w:vAlign w:val="center"/>
          </w:tcPr>
          <w:p>
            <w:pPr>
              <w:pStyle w:val="TableContents"/>
              <w:bidi w:val="0"/>
              <w:spacing w:before="0" w:after="283"/>
              <w:jc w:val="right"/>
              <w:rPr>
                <w:b/>
              </w:rPr>
            </w:pPr>
            <w:r>
              <w:rPr>
                <w:b/>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b/>
              </w:rPr>
            </w:pPr>
            <w:r>
              <w:rPr>
                <w:b/>
              </w:rPr>
              <w:t>32</w:t>
            </w:r>
          </w:p>
        </w:tc>
        <w:tc>
          <w:tcPr>
            <w:tcW w:w="329" w:type="dxa"/>
            <w:tcBorders/>
            <w:shd w:fill="CCEEFF" w:val="clear"/>
            <w:vAlign w:val="center"/>
          </w:tcPr>
          <w:p>
            <w:pPr>
              <w:pStyle w:val="TableContents"/>
              <w:bidi w:val="0"/>
              <w:spacing w:before="0" w:after="283"/>
              <w:ind w:left="0" w:right="0" w:hanging="180"/>
              <w:jc w:val="left"/>
              <w:rPr>
                <w:b/>
              </w:rPr>
            </w:pPr>
            <w:r>
              <w:rPr>
                <w:b/>
              </w:rPr>
              <w:t>%</w:t>
            </w:r>
          </w:p>
        </w:tc>
      </w:tr>
      <w:tr>
        <w:trPr/>
        <w:tc>
          <w:tcPr>
            <w:tcW w:w="5616" w:type="dxa"/>
            <w:tcBorders/>
            <w:shd w:fill="FFFFFF" w:val="clear"/>
            <w:vAlign w:val="center"/>
          </w:tcPr>
          <w:p>
            <w:pPr>
              <w:pStyle w:val="TableContents"/>
              <w:bidi w:val="0"/>
              <w:spacing w:before="0" w:after="283"/>
              <w:jc w:val="left"/>
              <w:rPr/>
            </w:pPr>
            <w:r>
              <w:rPr/>
              <w:t>Less: Net income/ (loss) attributable noncontrolling interest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155</w:t>
            </w:r>
          </w:p>
        </w:tc>
        <w:tc>
          <w:tcPr>
            <w:tcW w:w="27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62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150</w:t>
            </w:r>
          </w:p>
        </w:tc>
        <w:tc>
          <w:tcPr>
            <w:tcW w:w="329" w:type="dxa"/>
            <w:tcBorders/>
            <w:shd w:fill="FFFFFF" w:val="clear"/>
            <w:vAlign w:val="center"/>
          </w:tcPr>
          <w:p>
            <w:pPr>
              <w:pStyle w:val="TableContents"/>
              <w:bidi w:val="0"/>
              <w:spacing w:before="0" w:after="283"/>
              <w:ind w:left="0" w:right="0" w:hanging="180"/>
              <w:jc w:val="left"/>
              <w:rPr/>
            </w:pPr>
            <w:r>
              <w:rPr/>
              <w:t>%</w:t>
            </w:r>
          </w:p>
        </w:tc>
      </w:tr>
      <w:tr>
        <w:trPr/>
        <w:tc>
          <w:tcPr>
            <w:tcW w:w="5616" w:type="dxa"/>
            <w:tcBorders/>
            <w:shd w:fill="CCEEFF" w:val="clear"/>
            <w:vAlign w:val="center"/>
          </w:tcPr>
          <w:p>
            <w:pPr>
              <w:pStyle w:val="TableContents"/>
              <w:bidi w:val="0"/>
              <w:spacing w:before="0" w:after="283"/>
              <w:jc w:val="left"/>
              <w:rPr/>
            </w:pPr>
            <w:r>
              <w:rPr/>
              <w:t>Less: Net income / (loss) attributable to redeemable noncontrolling interests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pPr>
            <w:r>
              <w:rPr/>
              <w:t>277</w:t>
            </w:r>
          </w:p>
        </w:tc>
        <w:tc>
          <w:tcPr>
            <w:tcW w:w="27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single" w:sz="8" w:space="0" w:color="000000"/>
            </w:tcBorders>
            <w:shd w:fill="CCEEFF" w:val="clear"/>
            <w:tcMar>
              <w:bottom w:w="28" w:type="dxa"/>
            </w:tcMar>
            <w:vAlign w:val="center"/>
          </w:tcPr>
          <w:p>
            <w:pPr>
              <w:pStyle w:val="TableContents"/>
              <w:bidi w:val="0"/>
              <w:spacing w:before="0" w:after="283"/>
              <w:jc w:val="right"/>
              <w:rPr/>
            </w:pPr>
            <w:r>
              <w:rPr/>
              <w:t>172</w:t>
            </w:r>
          </w:p>
        </w:tc>
        <w:tc>
          <w:tcPr>
            <w:tcW w:w="329" w:type="dxa"/>
            <w:tcBorders/>
            <w:shd w:fill="CCEEFF" w:val="clear"/>
            <w:vAlign w:val="center"/>
          </w:tcPr>
          <w:p>
            <w:pPr>
              <w:pStyle w:val="TableContents"/>
              <w:bidi w:val="0"/>
              <w:spacing w:before="0" w:after="283"/>
              <w:ind w:left="0" w:right="0" w:hanging="180"/>
              <w:jc w:val="left"/>
              <w:rPr/>
            </w:pPr>
            <w:r>
              <w:rPr/>
              <w:t>%</w:t>
            </w:r>
          </w:p>
        </w:tc>
      </w:tr>
      <w:tr>
        <w:trPr/>
        <w:tc>
          <w:tcPr>
            <w:tcW w:w="5616" w:type="dxa"/>
            <w:tcBorders/>
            <w:shd w:fill="FFFFFF" w:val="clear"/>
            <w:vAlign w:val="center"/>
          </w:tcPr>
          <w:p>
            <w:pPr>
              <w:pStyle w:val="TableContents"/>
              <w:bidi w:val="0"/>
              <w:spacing w:before="0" w:after="283"/>
              <w:jc w:val="left"/>
              <w:rPr>
                <w:b/>
              </w:rPr>
            </w:pPr>
            <w:r>
              <w:rPr>
                <w:b/>
              </w:rPr>
              <w:t>Net income / (loss) attributable to the shareholders of Aeries Technology, Inc.</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1,782</w:t>
            </w:r>
          </w:p>
        </w:tc>
        <w:tc>
          <w:tcPr>
            <w:tcW w:w="27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1,512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w:t>
            </w:r>
          </w:p>
        </w:tc>
        <w:tc>
          <w:tcPr>
            <w:tcW w:w="329" w:type="dxa"/>
            <w:tcBorders/>
            <w:shd w:fill="FFFF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net</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our revenue on a consolidated basis increased by $6.59 million or 43%, to $21.92 million from $15.33 million for the three months ended June 30, 2025. We experienced an increase in revenue of $7.66 million due to new client additions and higher business volumes from existing clients along with $2.70 million of one- time revenue related to buy- out fees. These increases were partially offset by $3.77 million related to ramp-down in existing client engagements and the completion and closure of certain consulting projects.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our cost of revenue increased by $3.99 million or 35%, to $15.54 million from $11.55 million for the three months ended June 30, 2025. The primary drivers for the increase included a $3.21 million increase in employee compensation and benefits, $0.34 million increase in legal and professional charges, $0.21 million increase in staff welfare expenses, $0.18 million increase in rent expenses and $0.05 million increase in travelling expenses and communication charges.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our gross profit increased by $2.60 million or 69%, compared to the three months ended June 30, 2025. The higher gross profit was primarily driven by a $6.59 million increase in revenue, offset by a $3.99 million increase in cost of revenue mainly due to the increase in employee compensation costs and other expense associated with fulfilling customer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Margin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our gross profit margin increased by 445 basis points compared to the three months ended June 30, 2025. The increase in Gross Profit Margin was primarily driven by the recognition of $2.7 million in one-time termination fees, which contributed to higher gross profit margin.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increased by $0.06 million, or 2%, to $3.02 million for the three months ended June 30, 2026, compared to $2.96 million for the same period in 2025. This increase was primarily driven by $0.71 million increase in stock-based compensation expenses. This increase was partially offset by a $0.54 million decrease in employee benefit expense, and a $0.11 million decrease in rates and taxes and other administrative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Other Income (expense),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expense was $0.27 million for the three months ended June 30, 2026 compared to net income of $1.19 million for the three months ended June 30, 2025, a decrease of $1.46 million or 123%. The decline of $1.28 million in income is attributed to a change in the fair value of the FPA put option liability and warrant liabilities and $0.46 million decreased due to foreign exchange loss. The above is offset by increase of $0.23 million on account of write back of promissory note and decrease of $0.05 million in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expenses / (benefit)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for the three months ended June 30, 2026 was $0.88 million, representing a increase of $0.55 million or 165% compared to the income tax expense of $0.33 million for the three months ended June 30, 2025. For the three months ended June 30, 2026, the effective tax rate of 28.4% increased due to the non-recognition of deferred tax benefits related to losses in jurisdictions with lower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non-GAAP financial information and believe it is useful to investors as it provides additional information to facilitate comparisons of historical operating results, identify trends in our underlying operating results and provide additional insight and transparency as to how we evaluate the business. We use non-GAAP financial measures to budget, make operating and strategic decisions, and evaluate our performance. We have detailed the non-GAAP adjustments that we make in our non-GAAP definitions below. The adjustments generally fall within the categories of non-cash items, other than costs related to the Business Combination and M&amp;A transaction related costs, which represent non-recurring legal, professional, personnel and other fees and expenses incurred in connection with potential mergers and acquisitions related activities. We believe the non-GAAP measures presented herein should always be considered along with, and not as a substitute for or superior to, the related US GAAP financial measures. We have provided the reconciliations between the US GAAP and non-GAAP financial measures below, and we also discuss our underlying US GAAP results throughout the Management’s Discussion and Analysis of Financial Condition and Results of Operations section. The non-GAAP financial measures we present may differ from similarly captioned measures presented by other companies.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and Adjusted EBITDA Margin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as net income from operations before interest, income taxes, depreciation and amortization, further adjusted to exclude stock-based compensation, Business Combination-related costs, and changes in fair value of derivative liabilities. Adjusted EBITDA is a key performance indicator that we use to evaluate our operating performance and in making financial, operating, and planning decisions.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margin as Adjusted EBITDA divided by revenue for the reporting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non-GAAP measures provide useful insight to investors by offering a clearer view of Aeries’ operating performance. This information has been used by our management for internal reporting and planning procedures, including aspects of our consolidated operating budget and capital expenditure planning.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from net income / (loss) (US GAAP measure) to Adjusted EBITDA, and Adjusted EBITDA margin for the period ended June 30, 2026, and 2025 (in thousands):</w:t>
      </w:r>
    </w:p>
    <w:p>
      <w:pPr>
        <w:pStyle w:val="TextBody"/>
        <w:bidi w:val="0"/>
        <w:jc w:val="left"/>
        <w:rPr>
          <w:caps w:val="false"/>
          <w:smallCaps w:val="false"/>
        </w:rPr>
      </w:pPr>
      <w:r>
        <w:rPr>
          <w:caps w:val="false"/>
          <w:smallCaps w:val="false"/>
        </w:rPr>
        <w:t> </w:t>
      </w:r>
    </w:p>
    <w:tbl>
      <w:tblPr>
        <w:tblW w:w="9821" w:type="dxa"/>
        <w:jc w:val="left"/>
        <w:tblInd w:w="0" w:type="dxa"/>
        <w:tblLayout w:type="fixed"/>
        <w:tblCellMar>
          <w:top w:w="0" w:type="dxa"/>
          <w:left w:w="0" w:type="dxa"/>
          <w:bottom w:w="0" w:type="dxa"/>
          <w:right w:w="0" w:type="dxa"/>
        </w:tblCellMar>
      </w:tblPr>
      <w:tblGrid>
        <w:gridCol w:w="7280"/>
        <w:gridCol w:w="60"/>
        <w:gridCol w:w="157"/>
        <w:gridCol w:w="766"/>
        <w:gridCol w:w="293"/>
        <w:gridCol w:w="67"/>
        <w:gridCol w:w="157"/>
        <w:gridCol w:w="766"/>
        <w:gridCol w:w="275"/>
      </w:tblGrid>
      <w:tr>
        <w:trPr/>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2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93"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b/>
              </w:rPr>
            </w:pPr>
            <w:r>
              <w:rPr>
                <w:b/>
              </w:rPr>
              <w:t>Net income /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2,214</w:t>
            </w:r>
          </w:p>
        </w:tc>
        <w:tc>
          <w:tcPr>
            <w:tcW w:w="29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1,676</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Income tax expense / (benefit)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878</w:t>
            </w:r>
          </w:p>
        </w:tc>
        <w:tc>
          <w:tcPr>
            <w:tcW w:w="29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331</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(78</w:t>
            </w:r>
          </w:p>
        </w:tc>
        <w:tc>
          <w:tcPr>
            <w:tcW w:w="293"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(72</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116</w:t>
            </w:r>
          </w:p>
        </w:tc>
        <w:tc>
          <w:tcPr>
            <w:tcW w:w="29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170</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224</w:t>
            </w:r>
          </w:p>
        </w:tc>
        <w:tc>
          <w:tcPr>
            <w:tcW w:w="29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205</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b/>
              </w:rPr>
            </w:pPr>
            <w:r>
              <w:rPr>
                <w:b/>
              </w:rPr>
              <w:t>EBITDA</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3,354</w:t>
            </w:r>
          </w:p>
        </w:tc>
        <w:tc>
          <w:tcPr>
            <w:tcW w:w="29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2,310</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Adjustments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 Stock-based compensation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710</w:t>
            </w:r>
          </w:p>
        </w:tc>
        <w:tc>
          <w:tcPr>
            <w:tcW w:w="29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 Change in fair value of derivative liabilities and FPA put option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29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(1,278</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4,071</w:t>
            </w:r>
          </w:p>
        </w:tc>
        <w:tc>
          <w:tcPr>
            <w:tcW w:w="29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1,032</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b/>
              </w:rPr>
            </w:pPr>
            <w:r>
              <w:rPr>
                <w:b/>
              </w:rPr>
              <w:t>21,918</w:t>
            </w:r>
          </w:p>
        </w:tc>
        <w:tc>
          <w:tcPr>
            <w:tcW w:w="29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b/>
              </w:rPr>
            </w:pPr>
            <w:r>
              <w:rPr>
                <w:b/>
              </w:rPr>
              <w:t>15,330</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b/>
              </w:rPr>
            </w:pPr>
            <w:r>
              <w:rPr>
                <w:b/>
              </w:rPr>
              <w:t>Adjusted EBITDA margin [Adjusted EBITDA / Revenue]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b/>
              </w:rPr>
            </w:pPr>
            <w:r>
              <w:rPr>
                <w:b/>
              </w:rPr>
              <w:t>18.6</w:t>
            </w:r>
          </w:p>
        </w:tc>
        <w:tc>
          <w:tcPr>
            <w:tcW w:w="293" w:type="dxa"/>
            <w:tcBorders/>
            <w:shd w:fill="FFFFFF" w:val="clear"/>
            <w:vAlign w:val="center"/>
          </w:tcPr>
          <w:p>
            <w:pPr>
              <w:pStyle w:val="TableContents"/>
              <w:bidi w:val="0"/>
              <w:spacing w:before="0" w:after="283"/>
              <w:jc w:val="left"/>
              <w:rPr>
                <w:b/>
              </w:rPr>
            </w:pPr>
            <w:r>
              <w:rPr>
                <w:b/>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b/>
              </w:rPr>
            </w:pPr>
            <w:r>
              <w:rPr>
                <w:b/>
              </w:rPr>
              <w:t>6.7</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limitations of Adjusted EBITDA and Adjusted EBITDA margin include: each of these measures does not reflect (i) our cash expenditures or future requirements for capital expenditures or contractual commitments or foreign exchange gain/loss; (ii) changes in, or cash requirements for, working capital; (iii) significant interest expense or the cash requirements necessary to service interest or principal payments on our outstanding debt; (iv) payments made or future requirements for income taxes; (v) cash requirements for future replacement or payment in depreciated or amortized assets; (vi) stock based compensation costs, and (vii) change in fair value of derivative liabilities and FPA put option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using the going concern basis of accounting, which contemplates the realization of assets and the satisfaction of liabilities in the normal course of business. The going concern basis of presentation assumes that the Company will continue in operation one year after the date these financial statements are issued and will be able to realize its assets and discharge its liabilities and commitments in the normal course of business. However, certain conditions as listed below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of June 30, 2026, the Company had a working capital deficit of $4.4 million, primarily due to current liabilities related to the FPAs (as defined below) of $4.1 million, short term borrowings of $3.3 million and remaining due to other current liabilities such as accrued compensation benefits and other accruals.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FPAs were liquidity arrangements entered into as part of the Business Combination consummated as of November 6, 2023. Under these liquidity arrangements, certain investors agreed not to redeem their holdings in WWAC in exchange for the Company entering into the FPAs. As of the date of this Quarterly Report on Form 10-Q, the remaining balance owed to the FPA holders (as defined below) is approximately $4.1 million. The maturity consideration may be settled either in cash or equity at the option of the FPA holders. Paying the maturity consideration in cash would reduce the amount of cash on hand or available debt capacity to fund our operations, which could adversely affect our ability to make necessary investments, and, therefore, could affect our results of operations.</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Sandia Investment Management LP (“Sandia”), one of the FPA holders agreed to revised terms where the remaining liability would be settled by adjusting the proceeds from FPA share sales, either via cash or additional share issuance. Further, pursuant to Amendment No. 2 dated January 22, 2026 (Amendment No. 2”) to the Letter Agreement with Sandia dated September 16, 2025 (the “Letter Agreement”) commencing March 2026, the Company is obligated to make monthly cash payments toward the outstanding amount, subject to reductions in such outstanding amount resulting from sell-downs of shares in accordance with the terms of the Letter Agreement and Amendment No, 2. The outstanding amount will be subject to 15% per annum interest calculated monthly.</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July 2026, after the reporting period, the Company paid Sandia $1.49 million in exchange for return of 226,509 Class A ordinary shares, which satisfied the Company’s outstanding obligations under the Sandia FPA.</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entered into a Letter Agreement with Sea Otter Trading, LLC (“Sea Otter” and such agreement, the “Sea Otter Letter Agreement”) to amend the settlement terms of the maturity consideration payable under the existing Forward Purchase Agreement with Sea Otter. Under the Letter Agreement, the Company agreed to satisfy the outstanding payment obligation through an initial cash payment of $0.1 million followed by monthly principal payments of $0.08 million commencing September 15, 2026, with interest accruing at 7.5% per annum on the outstanding balance.</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security for the outstanding obligation, the Company agreed to issue 145,183 Class A ordinary shares to Sea Otter as collateral and may be required to issue additional shares if the aggregate market value of the collateral falls below the outstanding payment obligation. Sea Otter may not sell or otherwise dispose of the collateral shares while the Company remains current on its payment obligations; however, any permitted sale of the collateral shares may not occur below a minimum sale price of $8.40 per share (the “Minimum Sales Price”). Proceeds from such sales, up to the Minimum Sales Price, will be applied toward the outstanding payment obligation. Management is evaluating the accounting impact of the Sea Otter Letter Agreement, including its effect on the related liability.</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Additionally, during the period ended June 30, 2026, there is a heightened risk of non-collection, leading the Company to also to record an allowance for doubtful accounts of approximately $1.3 million, compared to $1.3 million as on March 31, 2026.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Company has received a non-renewal notice on April 24, 2026, effective June 30, 2026 from a significant customer, expected to result in an annual revenue loss of approximately $5.7 million.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working capital needs are primarily to finance our payroll and other administrative and information technology expenses in advance of the receipt of accounts receivable, as well as increased expenses due to being a public reporting company. Our primary capital requirements include expanding existing operations to support our growth, financing acquisitions and enhancing capabilities, including building certain digital 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historically financed its operations and expansions primarily with cash generated from operations and the revolving credit facility from Kotak Mahindra Bank. As of June 30, 2026, the Company had a balance of $6.1 million in cash and cash equivalents and also generated overall positive cash flows for the period ended June 30, 2026. Management expects to have sufficient cash from the operations, cash reserves and debt capacity for the next 12 months and for the foreseeable future to finance our operations, growth, expansion plans.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undertaken or completed the following actions to improve its available cash balances, liquidity, and cash generated from operations: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0"/>
              <w:jc w:val="both"/>
              <w:rPr>
                <w:caps w:val="false"/>
                <w:smallCaps w:val="false"/>
              </w:rPr>
            </w:pPr>
            <w:r>
              <w:rPr>
                <w:caps w:val="false"/>
                <w:smallCaps w:val="false"/>
              </w:rPr>
              <w:t>●</w:t>
            </w:r>
          </w:p>
        </w:tc>
        <w:tc>
          <w:tcPr>
            <w:tcW w:w="99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fee of approximately $2.7 million was received in connection with the conclusion of a client engagement.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Targeted cost cutting measures have been instituted, focusing on non-core expenses including those related to inorganic growth strategy, such as reductions in the use of outside vendors and professional services, as well as selective headcount and salary reductions, which are designed to improve our cash flow position without impacting core business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settlement of the Sandia obligation, together with cash generated from operations, cost-management initiatives and other liquidity measures, will improve the Company’s liquidity position.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is dependent upon, among other things, successfully executing its mitigation plan, which includes, (i) raising additional funds from existing or new credit facilities, (ii) raising equity or equity linked capital, (iii) restructuring current liabilities into equity or long-term obligations, (iv) further negotiating for waivers from vendors, and (v) further reducing non-core expenses with a renewed focus on organic growth in the core geography that has been historically operated in, which is North America. There is no guarantee that these measures will be successful or that additional funding will be available on acceptable terms. Any future equity financing could significantly dilute existing shareholders’ ownership.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have generated positive operating cashflow of $4.8 million for the quarter ended June 30, 2026 and our future profitability depends on our ability to generate revenue in excess of our expenses, including costs relating to the maintenance of our business and debt service requirements. The Company is hopeful of accomplishing its objectives through these measures in the anticipated time frame and also expects that the funds available through the above-mentioned arrangements will be sufficient to alleviate the doubts about the Company’s ability to continue as a going concern. However, there is no guarantee of the success of these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Cash Flow for the Three Months ended June 30, 2026 and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net cash provided by operating activities, investing activities and financing activities for the three months ended June 30, 2026, and 2025 (in thousands):</w:t>
      </w:r>
    </w:p>
    <w:p>
      <w:pPr>
        <w:pStyle w:val="TextBody"/>
        <w:bidi w:val="0"/>
        <w:jc w:val="left"/>
        <w:rPr>
          <w:caps w:val="false"/>
          <w:smallCaps w:val="false"/>
        </w:rPr>
      </w:pPr>
      <w:r>
        <w:rPr>
          <w:caps w:val="false"/>
          <w:smallCaps w:val="false"/>
        </w:rPr>
        <w:t> </w:t>
      </w:r>
    </w:p>
    <w:tbl>
      <w:tblPr>
        <w:tblW w:w="6988" w:type="dxa"/>
        <w:jc w:val="left"/>
        <w:tblInd w:w="0" w:type="dxa"/>
        <w:tblLayout w:type="fixed"/>
        <w:tblCellMar>
          <w:top w:w="0" w:type="dxa"/>
          <w:left w:w="0" w:type="dxa"/>
          <w:bottom w:w="0" w:type="dxa"/>
          <w:right w:w="0" w:type="dxa"/>
        </w:tblCellMar>
      </w:tblPr>
      <w:tblGrid>
        <w:gridCol w:w="4235"/>
        <w:gridCol w:w="60"/>
        <w:gridCol w:w="151"/>
        <w:gridCol w:w="659"/>
        <w:gridCol w:w="96"/>
        <w:gridCol w:w="72"/>
        <w:gridCol w:w="151"/>
        <w:gridCol w:w="659"/>
        <w:gridCol w:w="80"/>
        <w:gridCol w:w="60"/>
        <w:gridCol w:w="125"/>
        <w:gridCol w:w="545"/>
        <w:gridCol w:w="95"/>
      </w:tblGrid>
      <w:tr>
        <w:trPr/>
        <w:tc>
          <w:tcPr>
            <w:tcW w:w="4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at the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4,878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exchange rates on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at the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Analysis of Cash Flow Changes between the three months ended June 30, 2026 and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$3.45 million increase in net cash used in operating activities for the three months ended June 30, 2026 as compared to the three months ended June 30, 2025. The overall increase is primarily attributable to increase in net cash profitability by $2.33 million and improvement in working capital requirements of $1.12 million.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 - Net cash used in investing activities for the three months ended June 30, 2026 was $0.28 million, of which $0.29 million was used for the purchase of property and equipment. The outflows were offset by inflow from sale of property, plant and equipment of $0.01 million.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three months ended June 30, 2025 was $0.87 million, of which $0.26 million was used for the purchase of property and equipment and $0.61 million was used for fixed deposit with banks.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 - Net cash used in financing activities during the three months ended June 30, 2026 was $3.36 million, primarily from payments for purchase of treasury shares of $2.16 million, net repayment of short-term borrowings of $0.78 million, payment of FPA liabilities of $0.23 million, payment of promissory note liabilities of $0.15 million, payment of finance lease obligation of $0.03 million, repayment of long-term debt of $0.01 million.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during the three months ended June 30, 2025 was $1.15 million, primarily from net repayment of short-term borrowings of $1.11 million.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currently, we do not have any material off-balance sheet arrangements, other than as disclosed in “Commitments and Contingencies” in the notes to our condensed consolidated financial statements included elsewhere in this Quarterly Report on Form 10-Q.</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Pronouncements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“Summary of Significant Accounting Policies”, in the notes to the condensed consolidated financial statements included elsewhere in this Quarterly Report on Form 10-Q.</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Significant Accounting Policies and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basis of preparation and significant accounting policies which have been applied in the preparation of the accompanying condensed consolidated financial statements. The accounting policies have been applied consistently in preparation of these condensed consolidated financial statements. A full description of significant accounting policies is provided in our consolidated financial statements for the fiscal years ended March 31, 2026 and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Management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financial condition and results of operations are based upon our condensed consolidated financial statements included elsewhere in this Quarterly Report. The preparation of our condensed consolidated financial statements in accordance with US GAAP requires us to make estimates and assumptions that affect the reported amounts of assets, liabilities, revenue and expenses. Our critical accounting policies are those that materially affect our condensed consolidated financial statements and involve difficult, subjective or complex judgments by management. A thorough understanding of these critical accounting policies is essential when reviewing our condensed consolidated financial statements. We believe the current assumptions, judgments and estimates used to determine amounts reflected in our condensed consolidated financial statements are appropriate; however, actual results may differ under different conditions. This discussion and analysis should be read in conjunction with our condensed consolidated financial statements and related notes included in this document. Refer to “Critical Accounting Policies and Estimates” contained in Part II, Item 7 of our annual report on Form 10-K for the year ended March 31, 2026 (the “2026 Form 10-K”) for a complete discussion of our critical accounting estimates. There have been no material changes to the Company’s critical accounting estimates since the date of the filing of the 2026 Form 10-K.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2" w:name="a_010"/>
      <w:bookmarkEnd w:id="772"/>
      <w:r>
        <w:rPr>
          <w:rFonts w:ascii="Times New Roman;Times;Serif" w:hAnsi="Times New Roman;Times;Serif"/>
          <w:b/>
          <w:i w:val="false"/>
          <w:caps w:val="false"/>
          <w:smallCaps w:val="false"/>
          <w:sz w:val="20"/>
        </w:rPr>
        <w:t>ITEM 3. 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this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sz w:val="20"/>
        </w:rPr>
      </w:pPr>
      <w:bookmarkStart w:id="773" w:name="a_011"/>
      <w:bookmarkEnd w:id="773"/>
      <w:r>
        <w:rPr>
          <w:rFonts w:ascii="Times New Roman;Times;Serif" w:hAnsi="Times New Roman;Times;Serif"/>
          <w:b/>
          <w:i w:val="false"/>
          <w:caps/>
          <w:sz w:val="20"/>
        </w:rPr>
        <w:t>ITEM 4. Controls and Procedures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we conducted an evaluation of the effectiveness of our disclosure controls and procedures, as defined in Rules 13a-15(e) and 15d-15(e) under the Exchange Act, as of the end of the fiscal quarter ended June 30, 2026. Based on this evaluation, our Chief Executive Officer has concluded that, as of June 30, 2026, our disclosure controls and procedures were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2023, our management identified material weaknesses in internal control over financial reporting that are primarily attributable to improper segregation of duties, inadequate processes for timely recording of significant events and material transactions, and inadequate design and implementation of information and communication policies, procedures, and monitoring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Remediation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facts, our management, including our Chief Executive Officer, implemented the processes and controls including (i) designing and implementing manual controls to validate the completeness and accuracy of data; (ii) enhancing review controls, improving documentation standards, and strengthening oversight over key financial reporting processes; and (iii) hiring and training personnel at all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evaluation of the effectiveness of the Company’s internal controls as of June 30, 2026, management concluded that the previously identified material weakness had been successfully remediated as of March 31, 2026. Additionally, management has concluded that the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Inherent Limitations on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an effective system of internal control over financial reporting, the reliability of our financial reporting, investor confidence in us and the value of our Class A ordinary shares could be materially and adversely affected and the Company could be subject to sanctions or investigations by the SEC or other regulatory authorities. Effective process and controls over financial reporting are necessary for us to provide reliable and timely financial reports and are designed to reasonably detect and prevent fraud. For as long as we are a “smaller reporting company” under the U.S. securities laws, our independent registered public accounting firm will not be required to attest to the effectiveness of our internal control over financial reporting pursuant to Section 404. An independent assessment of the effectiveness of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do not expect that process and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 failure of our control systems to prevent error or fraud could materially adversely impact 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there was not any change in our internal control over financial reporting (as such term is defined in Rules 13a-15(f) and 15d-15(f) under the Exchange Act) during our most recent fiscal quarter that has materially affected, or is reasonably likely to materially affect, our internal control over financial reporting.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74" w:name="a_012"/>
      <w:bookmarkEnd w:id="774"/>
      <w:r>
        <w:rPr>
          <w:rFonts w:ascii="Times New Roman;Times;Serif" w:hAnsi="Times New Roman;Times;Serif"/>
          <w:b/>
          <w:i w:val="false"/>
          <w:caps w:val="false"/>
          <w:smallCaps w:val="false"/>
          <w:sz w:val="20"/>
        </w:rPr>
        <w:t>PART II – OTHER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5" w:name="a_013"/>
      <w:bookmarkEnd w:id="775"/>
      <w:r>
        <w:rPr>
          <w:rFonts w:ascii="Times New Roman;Times;Serif" w:hAnsi="Times New Roman;Times;Serif"/>
          <w:b/>
          <w:i w:val="false"/>
          <w:caps w:val="false"/>
          <w:smallCaps w:val="false"/>
          <w:sz w:val="20"/>
        </w:rPr>
        <w:t>ITEM 1. 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various proceedings and litigation, claims and other legal matters arising in the ordinary course of business. Some of these claims, lawsuits, and other proceedings may involve highly complex issues that are subject to substantial uncertainties, and could result in damages, fines, penalties, nonmonetary sanctions, or relief. Management is not currently aware of any material pending legal proceedings, except for ordinary routine litigation incidental to the business, in which we or any of our subsidiaries are involved, or where our property is subject to such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6" w:name="a_014"/>
      <w:bookmarkEnd w:id="776"/>
      <w:r>
        <w:rPr>
          <w:rFonts w:ascii="Times New Roman;Times;Serif" w:hAnsi="Times New Roman;Times;Serif"/>
          <w:b/>
          <w:i w:val="false"/>
          <w:caps w:val="false"/>
          <w:smallCaps w:val="false"/>
          <w:sz w:val="20"/>
        </w:rPr>
        <w:t>ITEM 1A. RISK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risk factors associated with our business is contained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the 2026 Form 10-K. There have been no material changes to our Risk Factors as therein previously reported, except as noted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We have identified conditions and events that raise substantial doubt about our ability to continue as a going concern, including obligations under the FPAs and the termination of a significant customer contract</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management has identified conditions that raise substantial doubt about the Company’s ability to continue as a going concern. As of June 30, 2026, the Company had a cash balance of $6.1 million with a net operating cash inflow of $4.82 million for the three months ended June 30, 2026. The Company reported a net profit of $2.21 million for this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working capital deficit of $4.43 million, primarily due to current liabilities related to the FPAs of $4.07 million (as defined below), short term borrowings of $3.28 million and remaining due to other current liabilities such as accrued compensation benefits and other accruals.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FPAs (as defined below) were liquidity arrangements entered into as part of the Business Combination consummated as of November 6, 2023. Under these liquidity arrangements, certain investors agreed not to redeem their holdings in WWAC in exchange for the Company entering into the FPAs. As of June 30, 2026, the remaining balance owed to the FPA holders is approximately $4.07 million. The maturity consideration may be settled either in cash or equity at the option of the FPA holders. Paying the maturity consideration in cash would reduce the amount of cash on hand or available debt capacity to fund our operations, which could adversely affect our ability to make necessary investments, and, therefore, could affect our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to address these challenges include (i) raising additional funds through existing or new credit facilities, (ii) raising equity or equity-linked capital, (iii) restructuring current liabilities into equity or long-term obligations, (iv) further negotiating for waivers from vendors, and (v) further reducing non-core expenses with a renewed focus on organic growth in the core geography we historically operate in, which is North America. There is no guarantee that these measures will be successful or that additional funding will be available on acceptable terms. Any future equity financing could significantly dilute existing shareholders’ ownership. Our future profitability depends on our ability to generate revenue in excess of our expenses, including costs relating to the maintenance of our business and debt service requirements. The Company is hopeful of accomplishing its objectives through these measures in the anticipated time frame and also expects that the funds available through the above-mentioned arrangements will be sufficient to alleviate the doubts about the Company’s ability to continue as a going concern. However, there is no guarantee of the success of these efforts.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continue as a going concern, we may be forced to liquidate our assets, potentially at less than their carrying value, which could result in a substantial or complete loss of investor capital. Future SEC filings may also contain statements expressing doubt about our ability to continue as a going concern, which could deter investors or other financing sources from providing funding on favorable terms, if at all.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make a cash payment of approximately $4.07 million or issue certain additional Class A ordinary shares to the investors with whom we entered into Forward Purchase Agreements in connection with the closing of the Business Combination, which would reduce the amount of cash available to us to fund our operations or dilute the percentage ownership held by the investors.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November 3, 2023 and November 5, 2023, we entered into FPAs with Sandia, Sea Otter, YA II PN, Ltd and Meteora (the “FPA holders”), for an OTC Equity Prepaid Forward Transaction. Subscription Agreements (the “Subscription Agreements”) were also executed alongside the FPAs for subscription of the underlying FPA shares by the FPA holders either through a new issuance or purchase of shares from existing holders. The FPAs and Subscription Agreements have been accounted for separately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2024, the Company reached an agreement with Meteora to settle the outstanding maturity consideration liability through the issuance of additional shares. As a result, the Company issued 7,226 Class A ordinary shares to Meteora in November 2024, settling its maturity consideration liability with Meteora.</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the Company entered into a Letter Agreement (the “Letter Agreement”) with Sandia with respect to the Sandia FPA.</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Company entered into “Amendment No. 1” to the Letter Agreement extending the Designated Period to January 9, 2026. On January 22, 2026, the Company and Sandia entered into “Amendment No. 2” to the Letter Agreement, pursuant to which the Company agreed, commencing March 2026, obligated to make monthly cash payments toward the outstanding amount, subject to reductions in such outstanding amount resulting from sell-downs of shares in accordance with the terms of the Letter Agreement and Amendment No. 2. The outstanding amount is subject to 15% per annum interest calculated monthly.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entered into the Sea Otter Letter Agreement to restructure the settlement of the maturity consideration payable under the Forward Purchase Agreement with Sea Otter. The agreement provides for an initial cash payment of $0.1 million, followed by monthly principal payments of $0.08 million with interest at 7.5% per annum on the outstanding balance. As collateral, the Company agreed to issue 145,183 Class A ordinary shares and, if required, additional shares to maintain the agreed collateral value. Sea Otter may sell the collateral shares only at or above a minimum sale price of $8.40 per share, with proceeds up to such amount applied toward the outstanding payment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satisfy our obligations under the FPA with cash payments to the FPA holders, as we are with respect to Sandia pursuant to Amendment No. 2 and Sea Otter pursuant to the Sea Otter Letter Agreement, the amount of cash on hand to fund our operations would be reduced accordingly, which could adversely affect our ability to make necessary investments, and, therefore, could affect our results of operations. If we are required to issue additional Class A ordinary shares in respect of the FPA Shares, the ownership percentage held by our current shareholders will be diluted.</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be able to maintain compliance with the continued listing standards of Nasdaq, and if we fail to maintain compliance with the continued listing requirements of Nasdaq, our Class A ordinary shares could be delisted, negatively impacting their price, liquidity, and our ability to access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under the symbol “AERT.” As previously disclosed, on September 30, 2025, the Listing Qualifications Staff (the “Staff”) of Nasdaq notified the Company that, based upon the closing bid price of the Company’s Class A ordinary shares for the 30 prior consecutive business days, the Company no longer satisfied the minimum bid price requirement set forth in Nasdaq Listing Rule 5550(a)(2) (the “Bid Price Rule”). In accordance with the Nasdaq Listing Rules, the Company thereafter received one grace period to regain compliance with the rule, which ultimately expired on March 30, 2026. The Company did not evidence compliance with the Bid Price Rule by that date and is not eligible for a second 180-day grace period as the Company does not comply with the minimum stockholders’ equity requirement for initial listing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received formal notice from the Staff of Nasdaq indicating that the Company’s non-compliance with the Bid Price Rule would result in the delisting of the Company’s securities from Nasdaq unless the Company timely requests a hearing before the Nasdaq Hearings Panel (the “Panel”). The Company did file a timely request for a hearing before the Panel, which request stayed any further action by Nasdaq pending the issuance of a decision by the Panel and the expiration of any extension the Panel may grant to the Company following the hearing. The Company had its hearing before the Panel on May 7, 2026. On June 12, 2026, the Panel notified the Company that it determined to grant its request to continue its listing on Nasdaq subject to the Company demonstrating compliance with the Bid Price Rule on or before June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Company implemented a one for-eight share consolidation (the “Share Consolidation”) of the Company’s Class A ordinary shares. The Share Consolidation was intended to increase the per-share trading price of the Company’s Class A ordinary shares and to assist the Company in maintaining compliance with the minimum bid price requirement for continued listing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letter dated July 15, 2026, Nasdaq notified the Company that it had regained compliance with the Bid Price Rule, as required by the Panel’s decision. In application of Nasdaq Listing Rule 5815(d)(4)(B), the Company will be subject to a Mandatory Panel Monitor for a period of one year from July 15, 2026. If, within that one-year monitoring period, Staff finds the Company again out of compliance with the Bid Price Rule that was the subject of the exception, notwithstanding Nasdaq Listing Rule 5810(c)(2), the Company will not be permitted to provide the Staff with a plan of compliance with respect to that deficiency and Staff will not be permitted to grant additional time for the Company to regain compliance with respect to that deficiency, nor will the company be afforded an applicable cure or compliance period pursuant to Nasdaq Listing Rule 5810(c)(3). Instead, Staff will issue a Delist Determination Letter and the Company will have an opportunity to request a new hearing with the initial Panel or a newly convened Hearings Panel if the initial Panel is unavailable. The Company will have the opportunity to respond/present to the Hearings Panel as provided by Nasdaq Listing Rule 5815(d)(4)(C). The Company’s securities may be at that time delisted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maintain compliance with the Bid Price Rule and with other rules for continued listing on Nasdaq, our securities may be delisted. If our securities were delisted from the Nasdaq Capital Market, it could, among other things, lead to a number of negative implications, including reduced liquidity in our Class A ordinary shares, the loss of federal preemption of state securities laws and greater difficulty in obtaining financing.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7" w:name="a_015"/>
      <w:bookmarkEnd w:id="777"/>
      <w:r>
        <w:rPr>
          <w:rFonts w:ascii="Times New Roman;Times;Serif" w:hAnsi="Times New Roman;Times;Serif"/>
          <w:b/>
          <w:i w:val="false"/>
          <w:caps w:val="false"/>
          <w:smallCaps w:val="false"/>
          <w:sz w:val="20"/>
        </w:rPr>
        <w:t>ITEM 2. UNREGISTERED SALES OF EQUITY SECURITIES AND USE OF PROCEEDS.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unregistered sales of equity securities in the period ended June 30, 2026 which have not been previously reported in the Company’s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repurchase activity during the three months ended June 30, 2026, was as follows (in millions, except number of shares, and per-share amounts):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65"/>
        <w:gridCol w:w="60"/>
        <w:gridCol w:w="90"/>
        <w:gridCol w:w="1223"/>
        <w:gridCol w:w="60"/>
        <w:gridCol w:w="60"/>
        <w:gridCol w:w="254"/>
        <w:gridCol w:w="805"/>
        <w:gridCol w:w="60"/>
        <w:gridCol w:w="60"/>
        <w:gridCol w:w="146"/>
        <w:gridCol w:w="1962"/>
        <w:gridCol w:w="60"/>
        <w:gridCol w:w="60"/>
        <w:gridCol w:w="152"/>
        <w:gridCol w:w="2508"/>
        <w:gridCol w:w="80"/>
      </w:tblGrid>
      <w:tr>
        <w:trPr/>
        <w:tc>
          <w:tcPr>
            <w:tcW w:w="2565" w:type="dxa"/>
            <w:tcBorders>
              <w:bottom w:val="single" w:sz="8" w:space="0" w:color="000000"/>
            </w:tcBorders>
            <w:vAlign w:val="center"/>
          </w:tcPr>
          <w:p>
            <w:pPr>
              <w:pStyle w:val="TableContents"/>
              <w:bidi w:val="0"/>
              <w:spacing w:before="0" w:after="283"/>
              <w:jc w:val="left"/>
              <w:rPr>
                <w:b/>
              </w:rPr>
            </w:pPr>
            <w:r>
              <w:rPr>
                <w:b/>
              </w:rPr>
              <w:t>Periods</w:t>
            </w:r>
          </w:p>
        </w:tc>
        <w:tc>
          <w:tcPr>
            <w:tcW w:w="60" w:type="dxa"/>
            <w:tcBorders/>
            <w:tcMar>
              <w:bottom w:w="0" w:type="dxa"/>
            </w:tcMar>
            <w:vAlign w:val="center"/>
          </w:tcPr>
          <w:p>
            <w:pPr>
              <w:pStyle w:val="TableContents"/>
              <w:bidi w:val="0"/>
              <w:spacing w:before="0" w:after="283"/>
              <w:jc w:val="center"/>
              <w:rPr/>
            </w:pPr>
            <w:r>
              <w:rPr/>
              <w:t> </w:t>
            </w:r>
          </w:p>
        </w:tc>
        <w:tc>
          <w:tcPr>
            <w:tcW w:w="1313" w:type="dxa"/>
            <w:gridSpan w:val="2"/>
            <w:tcBorders>
              <w:bottom w:val="single" w:sz="8" w:space="0" w:color="000000"/>
            </w:tcBorders>
            <w:vAlign w:val="center"/>
          </w:tcPr>
          <w:p>
            <w:pPr>
              <w:pStyle w:val="TableContents"/>
              <w:bidi w:val="0"/>
              <w:spacing w:before="0" w:after="283"/>
              <w:jc w:val="center"/>
              <w:rPr>
                <w:b/>
                <w:sz w:val="20"/>
              </w:rPr>
            </w:pPr>
            <w:r>
              <w:rPr>
                <w:b/>
                <w:sz w:val="20"/>
              </w:rPr>
              <w:t>Total</w:t>
              <w:br/>
              <w:t>Number of</w:t>
              <w:br/>
              <w:t>Shares</w:t>
              <w:br/>
              <w:t>Purchased</w:t>
            </w:r>
            <w:r>
              <w:rPr>
                <w:b/>
                <w:position w:val="7"/>
                <w:sz w:val="16"/>
                <w:sz w:val="20"/>
              </w:rPr>
              <w:t>(1)(2)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59" w:type="dxa"/>
            <w:gridSpan w:val="2"/>
            <w:tcBorders>
              <w:bottom w:val="single" w:sz="8" w:space="0" w:color="000000"/>
            </w:tcBorders>
            <w:vAlign w:val="center"/>
          </w:tcPr>
          <w:p>
            <w:pPr>
              <w:pStyle w:val="TableContents"/>
              <w:bidi w:val="0"/>
              <w:spacing w:before="0" w:after="283"/>
              <w:jc w:val="center"/>
              <w:rPr>
                <w:b/>
                <w:sz w:val="20"/>
              </w:rPr>
            </w:pPr>
            <w:r>
              <w:rPr>
                <w:b/>
                <w:sz w:val="20"/>
              </w:rPr>
              <w:t>Average</w:t>
              <w:br/>
              <w:t>Price Paid</w:t>
              <w:br/>
              <w:t>Per Share</w:t>
            </w:r>
            <w:r>
              <w:rPr>
                <w:b/>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08" w:type="dxa"/>
            <w:gridSpan w:val="2"/>
            <w:tcBorders>
              <w:bottom w:val="single" w:sz="8" w:space="0" w:color="000000"/>
            </w:tcBorders>
            <w:vAlign w:val="center"/>
          </w:tcPr>
          <w:p>
            <w:pPr>
              <w:pStyle w:val="TableContents"/>
              <w:bidi w:val="0"/>
              <w:spacing w:before="0" w:after="283"/>
              <w:jc w:val="center"/>
              <w:rPr>
                <w:b/>
              </w:rPr>
            </w:pPr>
            <w:r>
              <w:rPr>
                <w:b/>
              </w:rPr>
              <w:t>Total</w:t>
              <w:br/>
              <w:t>Number of Shares</w:t>
              <w:br/>
              <w:t>Purchased as Part of</w:t>
              <w:br/>
              <w:t>Publicly Announced</w:t>
              <w:br/>
              <w:t>Plans or Programs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660" w:type="dxa"/>
            <w:gridSpan w:val="2"/>
            <w:tcBorders>
              <w:bottom w:val="single" w:sz="8" w:space="0" w:color="000000"/>
            </w:tcBorders>
            <w:vAlign w:val="center"/>
          </w:tcPr>
          <w:p>
            <w:pPr>
              <w:pStyle w:val="TableContents"/>
              <w:bidi w:val="0"/>
              <w:spacing w:before="0" w:after="283"/>
              <w:jc w:val="center"/>
              <w:rPr>
                <w:b/>
                <w:sz w:val="20"/>
              </w:rPr>
            </w:pPr>
            <w:r>
              <w:rPr>
                <w:b/>
                <w:sz w:val="20"/>
              </w:rPr>
              <w:t>Approximate</w:t>
              <w:br/>
              <w:t>Dollar Value of</w:t>
              <w:br/>
              <w:t>Shares That May</w:t>
              <w:br/>
              <w:t>Yet Be Purchased</w:t>
              <w:br/>
              <w:t>Under the Plans or Programs</w:t>
            </w:r>
            <w:r>
              <w:rPr>
                <w:b/>
                <w:position w:val="7"/>
                <w:sz w:val="16"/>
                <w:sz w:val="20"/>
              </w:rPr>
              <w:t>(1)</w:t>
            </w:r>
          </w:p>
        </w:tc>
        <w:tc>
          <w:tcPr>
            <w:tcW w:w="80" w:type="dxa"/>
            <w:tcBorders/>
            <w:tcMar>
              <w:bottom w:w="0" w:type="dxa"/>
            </w:tcMar>
            <w:vAlign w:val="center"/>
          </w:tcPr>
          <w:p>
            <w:pPr>
              <w:pStyle w:val="TableContents"/>
              <w:bidi w:val="0"/>
              <w:spacing w:before="0" w:after="283"/>
              <w:ind w:left="0" w:right="0" w:hanging="180"/>
              <w:jc w:val="center"/>
              <w:rPr/>
            </w:pPr>
            <w:r>
              <w:rPr/>
              <w:t> </w:t>
            </w:r>
          </w:p>
        </w:tc>
      </w:tr>
      <w:tr>
        <w:trPr/>
        <w:tc>
          <w:tcPr>
            <w:tcW w:w="2565" w:type="dxa"/>
            <w:tcBorders/>
            <w:shd w:fill="CCEEFF" w:val="clear"/>
            <w:tcMar>
              <w:bottom w:w="0" w:type="dxa"/>
            </w:tcMar>
            <w:vAlign w:val="center"/>
          </w:tcPr>
          <w:p>
            <w:pPr>
              <w:pStyle w:val="TableContents"/>
              <w:bidi w:val="0"/>
              <w:spacing w:before="0" w:after="283"/>
              <w:jc w:val="left"/>
              <w:rPr>
                <w:sz w:val="20"/>
              </w:rPr>
            </w:pPr>
            <w:r>
              <w:rPr>
                <w:sz w:val="20"/>
              </w:rPr>
              <w:t>April 1, 2026 to April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3" w:type="dxa"/>
            <w:tcBorders/>
            <w:shd w:fill="CCEEFF" w:val="clear"/>
            <w:tcMar>
              <w:bottom w:w="0" w:type="dxa"/>
            </w:tcMar>
            <w:vAlign w:val="center"/>
          </w:tcPr>
          <w:p>
            <w:pPr>
              <w:pStyle w:val="TableContents"/>
              <w:bidi w:val="0"/>
              <w:spacing w:before="0" w:after="283"/>
              <w:jc w:val="right"/>
              <w:rPr/>
            </w:pPr>
            <w:r>
              <w:rPr/>
              <w:t>261,048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pPr>
            <w:r>
              <w:rPr/>
              <w:t>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962" w:type="dxa"/>
            <w:tcBorders/>
            <w:shd w:fill="CCEEFF" w:val="clear"/>
            <w:tcMar>
              <w:bottom w:w="0" w:type="dxa"/>
            </w:tcMar>
            <w:vAlign w:val="center"/>
          </w:tcPr>
          <w:p>
            <w:pPr>
              <w:pStyle w:val="TableContents"/>
              <w:bidi w:val="0"/>
              <w:spacing w:before="0" w:after="283"/>
              <w:jc w:val="right"/>
              <w:rPr/>
            </w:pPr>
            <w:r>
              <w:rPr/>
              <w:t>261,048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2508" w:type="dxa"/>
            <w:tcBorders/>
            <w:shd w:fill="CCEEFF" w:val="clear"/>
            <w:tcMar>
              <w:bottom w:w="0" w:type="dxa"/>
            </w:tcMar>
            <w:vAlign w:val="center"/>
          </w:tcPr>
          <w:p>
            <w:pPr>
              <w:pStyle w:val="TableContents"/>
              <w:bidi w:val="0"/>
              <w:spacing w:before="0" w:after="283"/>
              <w:jc w:val="right"/>
              <w:rPr/>
            </w:pPr>
            <w:r>
              <w:rPr/>
              <w:t>3,276,094</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565" w:type="dxa"/>
            <w:tcBorders/>
            <w:shd w:fill="FFFFFF" w:val="clear"/>
            <w:tcMar>
              <w:bottom w:w="0" w:type="dxa"/>
            </w:tcMar>
            <w:vAlign w:val="center"/>
          </w:tcPr>
          <w:p>
            <w:pPr>
              <w:pStyle w:val="TableContents"/>
              <w:bidi w:val="0"/>
              <w:spacing w:before="0" w:after="283"/>
              <w:jc w:val="left"/>
              <w:rPr>
                <w:sz w:val="20"/>
              </w:rPr>
            </w:pPr>
            <w:r>
              <w:rPr>
                <w:sz w:val="20"/>
              </w:rPr>
              <w:t>May 1, 2026 to May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23" w:type="dxa"/>
            <w:tcBorders/>
            <w:shd w:fill="FFFFFF" w:val="clear"/>
            <w:tcMar>
              <w:bottom w:w="0" w:type="dxa"/>
            </w:tcMar>
            <w:vAlign w:val="center"/>
          </w:tcPr>
          <w:p>
            <w:pPr>
              <w:pStyle w:val="TableContents"/>
              <w:bidi w:val="0"/>
              <w:spacing w:before="0" w:after="283"/>
              <w:jc w:val="right"/>
              <w:rPr/>
            </w:pPr>
            <w:r>
              <w:rPr/>
              <w:t>67,907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pPr>
            <w:r>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67,907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2508" w:type="dxa"/>
            <w:tcBorders/>
            <w:shd w:fill="FFFFFF" w:val="clear"/>
            <w:tcMar>
              <w:bottom w:w="0" w:type="dxa"/>
            </w:tcMar>
            <w:vAlign w:val="center"/>
          </w:tcPr>
          <w:p>
            <w:pPr>
              <w:pStyle w:val="TableContents"/>
              <w:bidi w:val="0"/>
              <w:spacing w:before="0" w:after="283"/>
              <w:jc w:val="right"/>
              <w:rPr/>
            </w:pPr>
            <w:r>
              <w:rPr/>
              <w:t>2,916,015</w:t>
            </w:r>
          </w:p>
        </w:tc>
        <w:tc>
          <w:tcPr>
            <w:tcW w:w="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565" w:type="dxa"/>
            <w:tcBorders/>
            <w:shd w:fill="CCEEFF" w:val="clear"/>
            <w:tcMar>
              <w:bottom w:w="0" w:type="dxa"/>
            </w:tcMar>
            <w:vAlign w:val="center"/>
          </w:tcPr>
          <w:p>
            <w:pPr>
              <w:pStyle w:val="TableContents"/>
              <w:bidi w:val="0"/>
              <w:spacing w:before="0" w:after="283"/>
              <w:jc w:val="left"/>
              <w:rPr>
                <w:sz w:val="20"/>
              </w:rPr>
            </w:pPr>
            <w:r>
              <w:rPr>
                <w:sz w:val="20"/>
              </w:rPr>
              <w:t>June 1, 2026 to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23" w:type="dxa"/>
            <w:tcBorders>
              <w:bottom w:val="single" w:sz="8" w:space="0" w:color="000000"/>
            </w:tcBorders>
            <w:shd w:fill="CCEEFF" w:val="clear"/>
            <w:vAlign w:val="center"/>
          </w:tcPr>
          <w:p>
            <w:pPr>
              <w:pStyle w:val="TableContents"/>
              <w:bidi w:val="0"/>
              <w:spacing w:before="0" w:after="283"/>
              <w:jc w:val="right"/>
              <w:rPr/>
            </w:pPr>
            <w:r>
              <w:rPr/>
              <w:t>90,318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bottom w:val="single" w:sz="8" w:space="0" w:color="000000"/>
            </w:tcBorders>
            <w:shd w:fill="CCEEFF" w:val="clear"/>
            <w:vAlign w:val="center"/>
          </w:tcPr>
          <w:p>
            <w:pPr>
              <w:pStyle w:val="TableContents"/>
              <w:bidi w:val="0"/>
              <w:spacing w:before="0" w:after="283"/>
              <w:jc w:val="left"/>
              <w:rPr/>
            </w:pPr>
            <w:r>
              <w:rPr/>
              <w:t>$</w:t>
            </w:r>
          </w:p>
        </w:tc>
        <w:tc>
          <w:tcPr>
            <w:tcW w:w="805" w:type="dxa"/>
            <w:tcBorders>
              <w:bottom w:val="single" w:sz="8" w:space="0" w:color="000000"/>
            </w:tcBorders>
            <w:shd w:fill="CCEEFF" w:val="clear"/>
            <w:vAlign w:val="center"/>
          </w:tcPr>
          <w:p>
            <w:pPr>
              <w:pStyle w:val="TableContents"/>
              <w:bidi w:val="0"/>
              <w:spacing w:before="0" w:after="283"/>
              <w:jc w:val="right"/>
              <w:rPr/>
            </w:pPr>
            <w:r>
              <w:rPr/>
              <w:t>4.61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1962" w:type="dxa"/>
            <w:tcBorders>
              <w:bottom w:val="single" w:sz="8" w:space="0" w:color="000000"/>
            </w:tcBorders>
            <w:shd w:fill="CCEEFF" w:val="clear"/>
            <w:vAlign w:val="center"/>
          </w:tcPr>
          <w:p>
            <w:pPr>
              <w:pStyle w:val="TableContents"/>
              <w:bidi w:val="0"/>
              <w:spacing w:before="0" w:after="283"/>
              <w:jc w:val="right"/>
              <w:rPr/>
            </w:pPr>
            <w:r>
              <w:rPr/>
              <w:t>90,318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CCEEFF" w:val="clear"/>
            <w:vAlign w:val="center"/>
          </w:tcPr>
          <w:p>
            <w:pPr>
              <w:pStyle w:val="TableContents"/>
              <w:bidi w:val="0"/>
              <w:spacing w:before="0" w:after="283"/>
              <w:jc w:val="left"/>
              <w:rPr/>
            </w:pPr>
            <w:r>
              <w:rPr/>
              <w:t> </w:t>
            </w:r>
          </w:p>
        </w:tc>
        <w:tc>
          <w:tcPr>
            <w:tcW w:w="2508" w:type="dxa"/>
            <w:tcBorders>
              <w:bottom w:val="single" w:sz="8" w:space="0" w:color="000000"/>
            </w:tcBorders>
            <w:shd w:fill="CCEEFF" w:val="clear"/>
            <w:vAlign w:val="center"/>
          </w:tcPr>
          <w:p>
            <w:pPr>
              <w:pStyle w:val="TableContents"/>
              <w:bidi w:val="0"/>
              <w:spacing w:before="0" w:after="283"/>
              <w:jc w:val="right"/>
              <w:rPr/>
            </w:pPr>
            <w:r>
              <w:rPr/>
              <w:t>2,313,262</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565" w:type="dxa"/>
            <w:tcBorders/>
            <w:shd w:fill="FFFFFF" w:val="clear"/>
            <w:tcMar>
              <w:bottom w:w="0" w:type="dxa"/>
            </w:tcMar>
            <w:vAlign w:val="center"/>
          </w:tcPr>
          <w:p>
            <w:pPr>
              <w:pStyle w:val="TableContents"/>
              <w:bidi w:val="0"/>
              <w:spacing w:before="0" w:after="283"/>
              <w:jc w:val="left"/>
              <w:rPr>
                <w:b/>
                <w:sz w:val="20"/>
              </w:rPr>
            </w:pPr>
            <w:r>
              <w:rPr>
                <w:b/>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double" w:sz="6" w:space="0" w:color="000000"/>
            </w:tcBorders>
            <w:shd w:fill="FFFFFF" w:val="clear"/>
            <w:vAlign w:val="center"/>
          </w:tcPr>
          <w:p>
            <w:pPr>
              <w:pStyle w:val="TableContents"/>
              <w:bidi w:val="0"/>
              <w:spacing w:before="0" w:after="283"/>
              <w:jc w:val="left"/>
              <w:rPr/>
            </w:pPr>
            <w:r>
              <w:rPr/>
              <w:t> </w:t>
            </w:r>
          </w:p>
        </w:tc>
        <w:tc>
          <w:tcPr>
            <w:tcW w:w="1223" w:type="dxa"/>
            <w:tcBorders>
              <w:bottom w:val="double" w:sz="6" w:space="0" w:color="000000"/>
            </w:tcBorders>
            <w:shd w:fill="FFFFFF" w:val="clear"/>
            <w:vAlign w:val="center"/>
          </w:tcPr>
          <w:p>
            <w:pPr>
              <w:pStyle w:val="TableContents"/>
              <w:bidi w:val="0"/>
              <w:spacing w:before="0" w:after="283"/>
              <w:jc w:val="right"/>
              <w:rPr>
                <w:b/>
              </w:rPr>
            </w:pPr>
            <w:r>
              <w:rPr>
                <w:b/>
              </w:rPr>
              <w:t>419,274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805" w:type="dxa"/>
            <w:tcBorders>
              <w:bottom w:val="double" w:sz="6" w:space="0" w:color="000000"/>
            </w:tcBorders>
            <w:shd w:fill="FFFFFF" w:val="clear"/>
            <w:vAlign w:val="center"/>
          </w:tcPr>
          <w:p>
            <w:pPr>
              <w:pStyle w:val="TableContents"/>
              <w:bidi w:val="0"/>
              <w:spacing w:before="0" w:after="283"/>
              <w:jc w:val="right"/>
              <w:rPr>
                <w:b/>
              </w:rPr>
            </w:pPr>
            <w:r>
              <w:rPr>
                <w:b/>
              </w:rPr>
              <w:t>4.36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vAlign w:val="center"/>
          </w:tcPr>
          <w:p>
            <w:pPr>
              <w:pStyle w:val="TableContents"/>
              <w:bidi w:val="0"/>
              <w:spacing w:before="0" w:after="283"/>
              <w:jc w:val="left"/>
              <w:rPr/>
            </w:pPr>
            <w:r>
              <w:rPr/>
              <w:t> </w:t>
            </w:r>
          </w:p>
        </w:tc>
        <w:tc>
          <w:tcPr>
            <w:tcW w:w="1962" w:type="dxa"/>
            <w:tcBorders>
              <w:bottom w:val="double" w:sz="6" w:space="0" w:color="000000"/>
            </w:tcBorders>
            <w:shd w:fill="FFFFFF" w:val="clear"/>
            <w:vAlign w:val="center"/>
          </w:tcPr>
          <w:p>
            <w:pPr>
              <w:pStyle w:val="TableContents"/>
              <w:bidi w:val="0"/>
              <w:spacing w:before="0" w:after="283"/>
              <w:jc w:val="right"/>
              <w:rPr>
                <w:b/>
              </w:rPr>
            </w:pPr>
            <w:r>
              <w:rPr>
                <w:b/>
              </w:rPr>
              <w:t>419,274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pPr>
            <w:r>
              <w:rPr/>
              <w:t> </w:t>
            </w:r>
          </w:p>
        </w:tc>
        <w:tc>
          <w:tcPr>
            <w:tcW w:w="2508" w:type="dxa"/>
            <w:tcBorders>
              <w:bottom w:val="double" w:sz="6"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sz w:val="20"/>
              </w:rPr>
            </w:pPr>
            <w:r>
              <w:rPr>
                <w:sz w:val="20"/>
              </w:rPr>
              <w:t>(1)</w:t>
            </w:r>
          </w:p>
        </w:tc>
        <w:tc>
          <w:tcPr>
            <w:tcW w:w="997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2026, the Company authorized a Share Repurchase Program of up to $5.0 million of the Company’s Class A ordinary shares, to be effected over a period of twelve (12) months through February 24, 2027.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In connection therewith, the board approved the adoption of a Rule 10b5-1 issuer share repurchase trading plan on March 23, 2026 (the “March Trading Plan”), pursuant to which the Company repurchased its ordinary shares from time to time in accordance with applicable laws and regulations, including Rule 10b5-1 under the Securities Exchange Act of 1934, as amended. The maximum amount of cumulative purchases under the March Trading Plan was $3.0 million (exclusive of commission). The Company’s Share Repurchase Program does not obligate the Company to acquire a minimum amount of shares. Under the program, shares may be repurchased in privately negotiated or open market transactions, including under plans complying with Rule 10b5-1 under the Exchange Act.</w:t>
            </w:r>
          </w:p>
          <w:p>
            <w:pPr>
              <w:pStyle w:val="TableContents"/>
              <w:bidi w:val="0"/>
              <w:jc w:val="both"/>
              <w:rPr/>
            </w:pPr>
            <w:r>
              <w:rPr/>
              <w:t> </w:t>
            </w:r>
          </w:p>
          <w:p>
            <w:pPr>
              <w:pStyle w:val="TableContents"/>
              <w:bidi w:val="0"/>
              <w:spacing w:before="0" w:after="283"/>
              <w:jc w:val="both"/>
              <w:rPr/>
            </w:pPr>
            <w:r>
              <w:rPr/>
              <w:t>Following the completion of the March Trading Plan in accordance with its terms, the Company adopted a second Rule 10b5-1 plan with Roth Capital Partners, LLC on June 23, 2026, effective June 24, 2026, authorizing additional repurchases of Class A common stock under predetermined terms (the “June Trading Plan”). The June Trading Plan was terminated by the Company on July 24,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283"/>
              <w:jc w:val="both"/>
              <w:rPr/>
            </w:pPr>
            <w:r>
              <w:rPr/>
              <w:t>During the period ended June 30, 2026, as part of our publicly announced program, we purchased 419,274 shares of our common stock for an aggregate purchase consideration of $2.1 million, including commission and other charges, representing an average purchase price per share of $4.36.</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8" w:name="a_016"/>
      <w:bookmarkEnd w:id="778"/>
      <w:r>
        <w:rPr>
          <w:rFonts w:ascii="Times New Roman;Times;Serif" w:hAnsi="Times New Roman;Times;Serif"/>
          <w:b/>
          <w:i w:val="false"/>
          <w:caps w:val="false"/>
          <w:smallCaps w:val="false"/>
          <w:sz w:val="20"/>
        </w:rPr>
        <w:t>ITEM 3. DEFAULTS UPON SENIOR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9" w:name="a_017"/>
      <w:bookmarkEnd w:id="779"/>
      <w:r>
        <w:rPr>
          <w:rFonts w:ascii="Times New Roman;Times;Serif" w:hAnsi="Times New Roman;Times;Serif"/>
          <w:b/>
          <w:i w:val="false"/>
          <w:caps w:val="false"/>
          <w:smallCaps w:val="false"/>
          <w:sz w:val="20"/>
        </w:rPr>
        <w:t>ITEM 4. MINE SAFETY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80" w:name="a_018"/>
      <w:bookmarkEnd w:id="780"/>
      <w:r>
        <w:rPr>
          <w:rFonts w:ascii="Times New Roman;Times;Serif" w:hAnsi="Times New Roman;Times;Serif"/>
          <w:b/>
          <w:i w:val="false"/>
          <w:caps w:val="false"/>
          <w:smallCaps w:val="false"/>
          <w:sz w:val="20"/>
        </w:rPr>
        <w:t>ITEM 5. OTHER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2026, none of our directors or officers (as defined in Rule 16a-1(f) of the Securities Exchange Act of 1934, or the Exchange Act) </w:t>
      </w:r>
      <w:bookmarkStart w:id="781" w:name="xdx_90B_eecd--NonRule10b51ArrAdoptedFlag"/>
      <w:bookmarkStart w:id="782" w:name="xdx_90F_eecd--Rule10b51ArrAdoptedFlag_db"/>
      <w:bookmarkEnd w:id="781"/>
      <w:bookmarkEnd w:id="782"/>
      <w:r>
        <w:rPr>
          <w:rFonts w:ascii="Times New Roman;Times;Serif" w:hAnsi="Times New Roman;Times;Serif"/>
          <w:b w:val="false"/>
          <w:i w:val="false"/>
          <w:caps w:val="false"/>
          <w:smallCaps w:val="false"/>
          <w:sz w:val="20"/>
        </w:rPr>
        <w:t xml:space="preserve">adopted, modified or </w:t>
      </w:r>
      <w:bookmarkStart w:id="783" w:name="xdx_904_eecd--NonRule10b51ArrTrmntdFlag_"/>
      <w:bookmarkStart w:id="784" w:name="xdx_90A_eecd--Rule10b51ArrTrmntdFlag_dbF"/>
      <w:bookmarkEnd w:id="783"/>
      <w:bookmarkEnd w:id="784"/>
      <w:r>
        <w:rPr>
          <w:rFonts w:ascii="Times New Roman;Times;Serif" w:hAnsi="Times New Roman;Times;Serif"/>
          <w:b w:val="false"/>
          <w:i w:val="false"/>
          <w:caps w:val="false"/>
          <w:smallCaps w:val="false"/>
          <w:sz w:val="20"/>
        </w:rPr>
        <w:t>terminated a Rule 10b5-1 trading arrangement or a non-Rule 10b5-1 trading arrangement (as such terms are defined under Item 408 of Regulation S-K).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85" w:name="a_019"/>
      <w:bookmarkEnd w:id="785"/>
      <w:r>
        <w:rPr>
          <w:rFonts w:ascii="Times New Roman;Times;Serif" w:hAnsi="Times New Roman;Times;Serif"/>
          <w:b/>
          <w:i w:val="false"/>
          <w:caps w:val="false"/>
          <w:smallCaps w:val="false"/>
          <w:sz w:val="20"/>
        </w:rPr>
        <w:t>ITEM 6. EXHIBITS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
        <w:gridCol w:w="60"/>
        <w:gridCol w:w="6099"/>
        <w:gridCol w:w="60"/>
        <w:gridCol w:w="1066"/>
        <w:gridCol w:w="60"/>
        <w:gridCol w:w="663"/>
        <w:gridCol w:w="60"/>
        <w:gridCol w:w="650"/>
        <w:gridCol w:w="60"/>
        <w:gridCol w:w="684"/>
      </w:tblGrid>
      <w:tr>
        <w:trPr/>
        <w:tc>
          <w:tcPr>
            <w:tcW w:w="74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9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43"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74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9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6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4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CCEEFF" w:val="cle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Third Amended and Restated Memorandum and Articles of Association of Aeries Technology, Inc.. effective June 12, 2026</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001-40920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6/12/2026</w:t>
            </w:r>
          </w:p>
        </w:tc>
      </w:tr>
      <w:tr>
        <w:trPr/>
        <w:tc>
          <w:tcPr>
            <w:tcW w:w="74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FFFFFF" w:val="cle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Warrant Adjustment Notice, dated June 12, 2026</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001-40920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6/12/2026</w:t>
            </w:r>
          </w:p>
        </w:tc>
      </w:tr>
      <w:tr>
        <w:trPr/>
        <w:tc>
          <w:tcPr>
            <w:tcW w:w="74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CCEEFF" w:val="clear"/>
            <w:vAlign w:val="center"/>
          </w:tcPr>
          <w:p>
            <w:pPr>
              <w:pStyle w:val="TableContents"/>
              <w:bidi w:val="0"/>
              <w:spacing w:before="0" w:after="283"/>
              <w:jc w:val="both"/>
              <w:rPr/>
            </w:pPr>
            <w:hyperlink w:anchor="aeriestech_ex31-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Exchange Act Rules 13a-14(a) and 15d-14(a), as adopted pursuant to Section 302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FFFFFF" w:val="clear"/>
            <w:vAlign w:val="center"/>
          </w:tcPr>
          <w:p>
            <w:pPr>
              <w:pStyle w:val="TableContents"/>
              <w:bidi w:val="0"/>
              <w:spacing w:before="0" w:after="283"/>
              <w:jc w:val="both"/>
              <w:rPr/>
            </w:pPr>
            <w:hyperlink w:anchor="aeriestech_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 – the instance document does not appear in the Interactive Data File because its XBRL tags are embedded within the Inline XBRL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with applicable taxonomy extension information contained in Exhibits 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certification furnished in Exhibit 32.1 hereto is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86" w:name="a_020"/>
      <w:bookmarkEnd w:id="786"/>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1865"/>
        <w:gridCol w:w="545"/>
        <w:gridCol w:w="489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Bhisham (Ajay) Khare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Bhisham (Ajay) Khare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9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w:t>
      </w:r>
    </w:p>
    <w:p>
      <w:pPr>
        <w:pStyle w:val="TextBody"/>
        <w:bidi w:val="0"/>
        <w:jc w:val="left"/>
        <w:rPr/>
      </w:pPr>
      <w:bookmarkStart w:id="787" w:name="aeriestech_ex31-1.htm"/>
      <w:bookmarkStart w:id="788" w:name="ksaeriestech_ex311"/>
      <w:bookmarkEnd w:id="787"/>
      <w:bookmarkEnd w:id="788"/>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 13a-14(a) OR 15d-14(a)</w:t>
        <w:br/>
        <w:t>UNDER THE SECURITIES EXCHANGE ACT OF 1934,</w:t>
        <w:br/>
        <w:t>AS ADOPTED PURSUANT TO SECTION 302 OF THE SARBANES-OXLEY ACT OF 2002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Bhisham (Ajay) Khare, certify that:</w:t>
      </w:r>
    </w:p>
    <w:p>
      <w:pPr>
        <w:pStyle w:val="TextBody"/>
        <w:bidi w:val="0"/>
        <w:jc w:val="left"/>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23"/>
        <w:gridCol w:w="170"/>
        <w:gridCol w:w="6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Aeries Technology, Inc.;</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sz w:val="20"/>
              </w:rPr>
            </w:pPr>
            <w:r>
              <w:rPr>
                <w:sz w:val="20"/>
              </w:rPr>
              <w:t>4.</w:t>
            </w:r>
          </w:p>
        </w:tc>
        <w:tc>
          <w:tcPr>
            <w:tcW w:w="10039" w:type="dxa"/>
            <w:tcBorders/>
            <w:vAlign w:val="center"/>
          </w:tcPr>
          <w:p>
            <w:pPr>
              <w:pStyle w:val="TableContents"/>
              <w:bidi w:val="0"/>
              <w:spacing w:before="0" w:after="283"/>
              <w:jc w:val="both"/>
              <w:rPr>
                <w:sz w:val="20"/>
              </w:rPr>
            </w:pPr>
            <w:r>
              <w:rPr>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sz w:val="20"/>
              </w:rPr>
            </w:pPr>
            <w:r>
              <w:rPr>
                <w:sz w:val="20"/>
              </w:rPr>
              <w:t>(a)</w:t>
            </w:r>
          </w:p>
        </w:tc>
        <w:tc>
          <w:tcPr>
            <w:tcW w:w="9957"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sz w:val="20"/>
              </w:rPr>
            </w:pPr>
            <w:r>
              <w:rPr>
                <w:sz w:val="20"/>
              </w:rPr>
              <w:t>(b)</w:t>
            </w:r>
          </w:p>
        </w:tc>
        <w:tc>
          <w:tcPr>
            <w:tcW w:w="9941"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sz w:val="20"/>
              </w:rPr>
            </w:pPr>
            <w:r>
              <w:rPr>
                <w:sz w:val="20"/>
              </w:rPr>
              <w:t>(c)</w:t>
            </w:r>
          </w:p>
        </w:tc>
        <w:tc>
          <w:tcPr>
            <w:tcW w:w="9950"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sz w:val="20"/>
              </w:rPr>
            </w:pPr>
            <w:r>
              <w:rPr>
                <w:sz w:val="20"/>
              </w:rPr>
              <w:t>(d)</w:t>
            </w:r>
          </w:p>
        </w:tc>
        <w:tc>
          <w:tcPr>
            <w:tcW w:w="9941"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both"/>
              <w:rPr>
                <w:sz w:val="20"/>
              </w:rPr>
            </w:pPr>
            <w:r>
              <w:rPr>
                <w:sz w:val="20"/>
              </w:rPr>
              <w:t>5.</w:t>
            </w:r>
          </w:p>
        </w:tc>
        <w:tc>
          <w:tcPr>
            <w:tcW w:w="10035" w:type="dxa"/>
            <w:tcBorders/>
            <w:vAlign w:val="center"/>
          </w:tcPr>
          <w:p>
            <w:pPr>
              <w:pStyle w:val="TableContents"/>
              <w:bidi w:val="0"/>
              <w:spacing w:before="0" w:after="283"/>
              <w:jc w:val="both"/>
              <w:rPr>
                <w:sz w:val="20"/>
              </w:rPr>
            </w:pPr>
            <w:r>
              <w:rPr>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both"/>
              <w:rPr>
                <w:sz w:val="20"/>
              </w:rPr>
            </w:pPr>
            <w:r>
              <w:rPr>
                <w:sz w:val="20"/>
              </w:rPr>
              <w:t>(a)</w:t>
            </w:r>
          </w:p>
        </w:tc>
        <w:tc>
          <w:tcPr>
            <w:tcW w:w="9949"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both"/>
              <w:rPr>
                <w:sz w:val="20"/>
              </w:rPr>
            </w:pPr>
            <w:r>
              <w:rPr>
                <w:sz w:val="20"/>
              </w:rPr>
              <w:t>(b)</w:t>
            </w:r>
          </w:p>
        </w:tc>
        <w:tc>
          <w:tcPr>
            <w:tcW w:w="9918"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365"/>
        <w:gridCol w:w="4880"/>
        <w:gridCol w:w="60"/>
      </w:tblGrid>
      <w:tr>
        <w:trPr/>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Bhisham (Ajay) Khare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Bhisham (Ajay) Khare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br/>
              <w:t>(Principal Executive Officer and Principal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left"/>
        <w:rPr/>
      </w:pPr>
      <w:bookmarkStart w:id="789" w:name="aeriestech_ex32-1.htm"/>
      <w:bookmarkStart w:id="790" w:name="ksaeriestech_ex321"/>
      <w:bookmarkEnd w:id="789"/>
      <w:bookmarkEnd w:id="790"/>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Aeries Technology,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Form 10-Q for the quarter ended June 30, 2026, as filed with the Securities and Exchange Commission on the date hereof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certify in the capacity and on the date indicated below, pursuant to 18 U.S.C. §1350, as adopted pursuant to Section 906 of the Sarbanes-Oxley Act of 2002, that:</w:t>
      </w:r>
    </w:p>
    <w:p>
      <w:pPr>
        <w:pStyle w:val="TextBody"/>
        <w:bidi w:val="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320"/>
        <w:gridCol w:w="4880"/>
        <w:gridCol w:w="6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Bhisham (Ajay) Khare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Bhisham (Ajay) Khare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br/>
              <w:t>(Principal Executive Officer and Principal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pursuant to 18 U.S.C. §1350 and is not being filed as part of the Report or as a separate disclosure document.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3044/000182912626006421/aeriestech_ex3-1.htm" TargetMode="External"/><Relationship Id="rId3" Type="http://schemas.openxmlformats.org/officeDocument/2006/relationships/hyperlink" Target="https://www.sec.gov/Archives/edgar/data/1853044/000182912626006421/aeriestech_ex4-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27480</Words>
  <Characters>150042</Characters>
  <CharactersWithSpaces>179129</CharactersWithSpaces>
  <Paragraphs>6278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